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BE1EB" w14:textId="77777777" w:rsidR="006C474E" w:rsidRDefault="00000000">
      <w:pPr>
        <w:spacing w:before="20" w:after="0" w:line="264" w:lineRule="auto"/>
        <w:jc w:val="right"/>
        <w:rPr>
          <w:rFonts w:ascii="Arial" w:eastAsia="Arial" w:hAnsi="Arial" w:cs="Arial"/>
          <w:color w:val="444444"/>
          <w:sz w:val="20"/>
          <w:szCs w:val="20"/>
          <w:u w:color="444444"/>
        </w:rPr>
      </w:pPr>
      <w:r>
        <w:rPr>
          <w:rFonts w:ascii="Arial" w:hAnsi="Arial"/>
          <w:color w:val="444444"/>
          <w:sz w:val="20"/>
          <w:szCs w:val="20"/>
          <w:u w:color="444444"/>
        </w:rPr>
        <w:t xml:space="preserve"> 07.05 2025 r. Warszawa</w:t>
      </w:r>
    </w:p>
    <w:p w14:paraId="7836FD1D" w14:textId="77777777" w:rsidR="006C474E" w:rsidRDefault="006C474E">
      <w:pPr>
        <w:spacing w:before="20" w:after="0" w:line="264" w:lineRule="auto"/>
        <w:jc w:val="right"/>
        <w:rPr>
          <w:rFonts w:ascii="Arial" w:eastAsia="Arial" w:hAnsi="Arial" w:cs="Arial"/>
          <w:color w:val="444444"/>
          <w:sz w:val="20"/>
          <w:szCs w:val="20"/>
          <w:u w:color="444444"/>
        </w:rPr>
      </w:pPr>
    </w:p>
    <w:p w14:paraId="70992E67" w14:textId="77777777" w:rsidR="006C474E" w:rsidRDefault="006C474E">
      <w:pPr>
        <w:spacing w:before="20" w:after="0" w:line="264" w:lineRule="auto"/>
        <w:jc w:val="right"/>
        <w:rPr>
          <w:rFonts w:ascii="Arial" w:eastAsia="Arial" w:hAnsi="Arial" w:cs="Arial"/>
          <w:color w:val="AF3033"/>
          <w:sz w:val="20"/>
          <w:szCs w:val="20"/>
          <w:u w:color="AF3033"/>
        </w:rPr>
      </w:pPr>
    </w:p>
    <w:p w14:paraId="3F9622C6" w14:textId="77777777" w:rsidR="006C474E" w:rsidRDefault="00000000">
      <w:pPr>
        <w:spacing w:before="20" w:after="0" w:line="264" w:lineRule="auto"/>
        <w:jc w:val="center"/>
        <w:rPr>
          <w:rFonts w:ascii="Arial" w:eastAsia="Arial" w:hAnsi="Arial" w:cs="Arial"/>
          <w:color w:val="AF3033"/>
          <w:u w:color="AF3033"/>
        </w:rPr>
      </w:pPr>
      <w:r>
        <w:rPr>
          <w:rFonts w:ascii="Arial" w:eastAsia="Arial" w:hAnsi="Arial" w:cs="Arial"/>
          <w:b/>
          <w:bCs/>
          <w:noProof/>
        </w:rPr>
        <w:drawing>
          <wp:inline distT="0" distB="0" distL="0" distR="0" wp14:anchorId="2763E633" wp14:editId="3E8301CD">
            <wp:extent cx="1964434" cy="715316"/>
            <wp:effectExtent l="0" t="0" r="0" b="0"/>
            <wp:docPr id="1073741825" name="officeArt object" descr="Obraz zawierający tekst, Czcionka, logo, Grafi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zawierający tekst, Czcionka, logo, GrafikaOpis wygenerowany automatycznie" descr="Obraz zawierający tekst, Czcionka, logo, GrafikaOpis wygenerowany automatyczni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64434" cy="7153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DC0DB6B" w14:textId="77777777" w:rsidR="006C474E" w:rsidRDefault="006C474E">
      <w:pPr>
        <w:spacing w:before="20" w:after="0" w:line="240" w:lineRule="auto"/>
        <w:jc w:val="center"/>
        <w:rPr>
          <w:rFonts w:ascii="Arial Black" w:eastAsia="Arial Black" w:hAnsi="Arial Black" w:cs="Arial Black"/>
          <w:caps/>
          <w:color w:val="AF3033"/>
          <w:sz w:val="26"/>
          <w:szCs w:val="26"/>
          <w:u w:color="AF3033"/>
        </w:rPr>
      </w:pPr>
    </w:p>
    <w:p w14:paraId="6AAEA1BD" w14:textId="77777777" w:rsidR="006C474E" w:rsidRDefault="006C474E">
      <w:pPr>
        <w:spacing w:before="20" w:after="0" w:line="240" w:lineRule="auto"/>
        <w:jc w:val="center"/>
        <w:rPr>
          <w:rFonts w:ascii="Arial Black" w:eastAsia="Arial Black" w:hAnsi="Arial Black" w:cs="Arial Black"/>
          <w:caps/>
          <w:color w:val="AF3033"/>
          <w:u w:color="AF3033"/>
          <w:lang w:val="de-DE"/>
        </w:rPr>
      </w:pPr>
    </w:p>
    <w:p w14:paraId="487FB1E4" w14:textId="77777777" w:rsidR="006C474E" w:rsidRDefault="00000000">
      <w:pPr>
        <w:spacing w:before="20" w:after="0" w:line="240" w:lineRule="auto"/>
        <w:jc w:val="center"/>
        <w:rPr>
          <w:rFonts w:ascii="Arial Black" w:eastAsia="Arial Black" w:hAnsi="Arial Black" w:cs="Arial Black"/>
          <w:caps/>
          <w:color w:val="AF3033"/>
          <w:sz w:val="26"/>
          <w:szCs w:val="26"/>
          <w:u w:color="AF3033"/>
          <w:lang w:val="de-DE"/>
        </w:rPr>
      </w:pPr>
      <w:r>
        <w:rPr>
          <w:rFonts w:ascii="Arial Black" w:hAnsi="Arial Black"/>
          <w:caps/>
          <w:color w:val="AF3033"/>
          <w:sz w:val="26"/>
          <w:szCs w:val="26"/>
          <w:u w:color="AF3033"/>
          <w:lang w:val="de-DE"/>
        </w:rPr>
        <w:t xml:space="preserve">RADA POLITYKI PIENIĘŻNEJ OBNIŻA STOPY PROCENTOWE </w:t>
      </w:r>
    </w:p>
    <w:p w14:paraId="65D856AF" w14:textId="77777777" w:rsidR="006C474E" w:rsidRDefault="006C474E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b/>
          <w:bCs/>
        </w:rPr>
      </w:pPr>
    </w:p>
    <w:p w14:paraId="37827621" w14:textId="77777777" w:rsidR="006C474E" w:rsidRDefault="00000000">
      <w:pPr>
        <w:suppressAutoHyphens/>
        <w:spacing w:before="75" w:after="75" w:line="240" w:lineRule="auto"/>
        <w:jc w:val="both"/>
        <w:rPr>
          <w:rFonts w:ascii="Arial" w:eastAsia="Arial" w:hAnsi="Arial" w:cs="Arial"/>
          <w:b/>
          <w:bCs/>
          <w:u w:color="262626"/>
        </w:rPr>
      </w:pPr>
      <w:r>
        <w:rPr>
          <w:rFonts w:ascii="Arial" w:hAnsi="Arial"/>
          <w:b/>
          <w:bCs/>
        </w:rPr>
        <w:t xml:space="preserve">Po posiedzeniu Rada Polityki Pieniężnej w dniach 6-7 maja 2025 r., zgodnie                              z przewidywaniami ekonomistów, obniżono stopy procentowe NBP o 50 pb., w tym stopę referencyjną </w:t>
      </w:r>
      <w:r>
        <w:rPr>
          <w:rFonts w:ascii="Arial" w:hAnsi="Arial"/>
          <w:b/>
          <w:bCs/>
          <w:u w:color="262626"/>
        </w:rPr>
        <w:t>z 5,75 proc. do 5,25 proc. To pierwsza obniżka od 19 miesięcy.</w:t>
      </w:r>
    </w:p>
    <w:p w14:paraId="22FAA1D0" w14:textId="77777777" w:rsidR="006C474E" w:rsidRDefault="00000000">
      <w:pPr>
        <w:suppressAutoHyphens/>
        <w:spacing w:before="75" w:after="75" w:line="240" w:lineRule="auto"/>
        <w:jc w:val="both"/>
        <w:rPr>
          <w:rFonts w:ascii="Arial" w:eastAsia="Arial" w:hAnsi="Arial" w:cs="Arial"/>
          <w:b/>
          <w:bCs/>
          <w:u w:color="262626"/>
        </w:rPr>
      </w:pPr>
      <w:r>
        <w:rPr>
          <w:rFonts w:ascii="Arial" w:hAnsi="Arial"/>
          <w:b/>
          <w:bCs/>
          <w:u w:color="262626"/>
        </w:rPr>
        <w:t> </w:t>
      </w:r>
    </w:p>
    <w:p w14:paraId="041E6988" w14:textId="77777777" w:rsidR="006C474E" w:rsidRDefault="00000000">
      <w:pPr>
        <w:suppressAutoHyphens/>
        <w:spacing w:before="75" w:after="75" w:line="240" w:lineRule="auto"/>
        <w:jc w:val="both"/>
        <w:rPr>
          <w:rFonts w:ascii="Arial" w:eastAsia="Arial" w:hAnsi="Arial" w:cs="Arial"/>
          <w:b/>
          <w:bCs/>
          <w:u w:color="262626"/>
        </w:rPr>
      </w:pPr>
      <w:r>
        <w:rPr>
          <w:rFonts w:ascii="Arial" w:hAnsi="Arial"/>
          <w:b/>
          <w:bCs/>
          <w:u w:color="262626"/>
        </w:rPr>
        <w:t>Dzisiejsza decyzja RPP jest zgodna z prognozami większości ekonomistów.</w:t>
      </w:r>
    </w:p>
    <w:p w14:paraId="1DC32607" w14:textId="77777777" w:rsidR="006C474E" w:rsidRDefault="006C474E">
      <w:pPr>
        <w:suppressAutoHyphens/>
        <w:spacing w:before="75" w:after="75" w:line="240" w:lineRule="auto"/>
        <w:jc w:val="both"/>
        <w:rPr>
          <w:rFonts w:ascii="Arial" w:eastAsia="Arial" w:hAnsi="Arial" w:cs="Arial"/>
          <w:b/>
          <w:bCs/>
          <w:u w:color="262626"/>
        </w:rPr>
      </w:pPr>
    </w:p>
    <w:p w14:paraId="6296A70B" w14:textId="77777777" w:rsidR="006C474E" w:rsidRDefault="00000000">
      <w:pPr>
        <w:suppressAutoHyphens/>
        <w:spacing w:before="75" w:after="75" w:line="240" w:lineRule="auto"/>
        <w:jc w:val="both"/>
        <w:rPr>
          <w:rFonts w:ascii="Arial" w:eastAsia="Arial" w:hAnsi="Arial" w:cs="Arial"/>
          <w:u w:color="262626"/>
        </w:rPr>
      </w:pPr>
      <w:r>
        <w:rPr>
          <w:rFonts w:ascii="Arial" w:hAnsi="Arial"/>
          <w:i/>
          <w:iCs/>
          <w:u w:color="262626"/>
        </w:rPr>
        <w:t xml:space="preserve">Obniżka podyktowana była z jednej strony niższą od niedawnych oczekiwań, między innymi tych, zawartych w marcowej Projekcji Inflacji NBP, ścieżką krajowej inflacji na początku roku, z drugiej zaś coraz bardziej niepewnymi perspektywami globalnego wzrostu w 2025 roku, oraz bardzo niskimi cenami ropy naftowej i innych surowców, których deflacyjne oddziaływanie na krajowe ceny będzie wzmacniane przez niski kurs USD-PLN. - </w:t>
      </w:r>
      <w:r>
        <w:rPr>
          <w:rFonts w:ascii="Arial" w:hAnsi="Arial"/>
          <w:u w:color="262626"/>
        </w:rPr>
        <w:t xml:space="preserve">podkreśla </w:t>
      </w:r>
      <w:r>
        <w:rPr>
          <w:rFonts w:ascii="Arial" w:hAnsi="Arial"/>
          <w:b/>
          <w:bCs/>
          <w:u w:color="262626"/>
        </w:rPr>
        <w:t>Marcin Mrowiec ekspert BCC ds. makroekonomii</w:t>
      </w:r>
      <w:r>
        <w:rPr>
          <w:rFonts w:ascii="Arial" w:hAnsi="Arial"/>
          <w:u w:color="262626"/>
        </w:rPr>
        <w:t>.</w:t>
      </w:r>
    </w:p>
    <w:p w14:paraId="48933C4B" w14:textId="77777777" w:rsidR="006C474E" w:rsidRDefault="006C474E">
      <w:pPr>
        <w:suppressAutoHyphens/>
        <w:spacing w:before="75" w:after="75" w:line="240" w:lineRule="auto"/>
        <w:jc w:val="both"/>
        <w:rPr>
          <w:rFonts w:ascii="Arial" w:eastAsia="Arial" w:hAnsi="Arial" w:cs="Arial"/>
          <w:u w:color="262626"/>
        </w:rPr>
      </w:pPr>
    </w:p>
    <w:p w14:paraId="537CE748" w14:textId="77777777" w:rsidR="006C474E" w:rsidRDefault="00000000">
      <w:pPr>
        <w:suppressAutoHyphens/>
        <w:spacing w:before="75" w:after="75" w:line="240" w:lineRule="auto"/>
        <w:jc w:val="both"/>
        <w:rPr>
          <w:rFonts w:ascii="Arial" w:eastAsia="Arial" w:hAnsi="Arial" w:cs="Arial"/>
          <w:u w:color="262626"/>
        </w:rPr>
      </w:pPr>
      <w:r>
        <w:rPr>
          <w:rFonts w:ascii="Arial" w:hAnsi="Arial"/>
          <w:u w:color="262626"/>
        </w:rPr>
        <w:t>Prezes NBP Adam Glapiński zapowiedział możliwość dalszego luzowania polityki pieniężnej, w tym spadek stopy referencyjnej do 3,50 proc. do 2026 roku.</w:t>
      </w:r>
    </w:p>
    <w:p w14:paraId="79C18D6B" w14:textId="77777777" w:rsidR="006C474E" w:rsidRDefault="006C474E">
      <w:pPr>
        <w:suppressAutoHyphens/>
        <w:spacing w:before="75" w:after="75" w:line="240" w:lineRule="auto"/>
        <w:jc w:val="both"/>
        <w:rPr>
          <w:rFonts w:ascii="Arial" w:eastAsia="Arial" w:hAnsi="Arial" w:cs="Arial"/>
          <w:b/>
          <w:bCs/>
          <w:u w:color="262626"/>
        </w:rPr>
      </w:pPr>
    </w:p>
    <w:p w14:paraId="115B4107" w14:textId="77777777" w:rsidR="006C474E" w:rsidRDefault="00000000">
      <w:pPr>
        <w:suppressAutoHyphens/>
        <w:spacing w:before="75" w:after="75" w:line="240" w:lineRule="auto"/>
        <w:jc w:val="both"/>
        <w:rPr>
          <w:rFonts w:ascii="Arial" w:eastAsia="Arial" w:hAnsi="Arial" w:cs="Arial"/>
          <w:b/>
          <w:bCs/>
          <w:i/>
          <w:iCs/>
          <w:u w:color="262626"/>
        </w:rPr>
      </w:pPr>
      <w:r>
        <w:rPr>
          <w:rFonts w:ascii="Arial" w:hAnsi="Arial"/>
          <w:b/>
          <w:bCs/>
          <w:i/>
          <w:iCs/>
          <w:u w:color="262626"/>
        </w:rPr>
        <w:t>I</w:t>
      </w:r>
      <w:r>
        <w:rPr>
          <w:rFonts w:ascii="Arial" w:hAnsi="Arial"/>
          <w:i/>
          <w:iCs/>
          <w:u w:color="262626"/>
        </w:rPr>
        <w:t>nflacja CPI powinna spaść w połowie roku w okolice – bądź poniżej 3%. To da RPP przestrzeń do dalszych obniżek, prawdopodobnie o kolejne 50-75 punktów bazowych.</w:t>
      </w:r>
    </w:p>
    <w:p w14:paraId="74DA6675" w14:textId="77777777" w:rsidR="006C474E" w:rsidRDefault="00000000">
      <w:pPr>
        <w:suppressAutoHyphens/>
        <w:spacing w:before="75" w:after="75" w:line="240" w:lineRule="auto"/>
        <w:jc w:val="both"/>
        <w:rPr>
          <w:rFonts w:ascii="Arial" w:eastAsia="Arial" w:hAnsi="Arial" w:cs="Arial"/>
          <w:b/>
          <w:bCs/>
          <w:u w:color="262626"/>
        </w:rPr>
      </w:pPr>
      <w:r>
        <w:rPr>
          <w:rFonts w:ascii="Arial" w:hAnsi="Arial"/>
          <w:i/>
          <w:iCs/>
          <w:u w:color="262626"/>
        </w:rPr>
        <w:t xml:space="preserve">Kolejne decyzje zależeć będą od nadchodzących odczytów ekonomicznych, na które determinujący wpływ będą miały kwestie geopolityczne. Jeśli dojdzie do porozumień USA             – inne kraje przed końcem czerwca i gospodarki wrócą na ścieżki wzrostowe, obniżki stóp będą zbliżone do założonych powyżej. Gdyby jednak okazało się, że porozumień nie ma                 – bądź, co gorsza, wojny handlowe się nasilają – Rada będzie ciąć stopy jeszcze mocniej.               </w:t>
      </w:r>
      <w:r>
        <w:rPr>
          <w:rFonts w:ascii="Arial" w:hAnsi="Arial"/>
          <w:u w:color="262626"/>
        </w:rPr>
        <w:t xml:space="preserve"> - dodał </w:t>
      </w:r>
      <w:r>
        <w:rPr>
          <w:rFonts w:ascii="Arial" w:hAnsi="Arial"/>
          <w:b/>
          <w:bCs/>
          <w:u w:color="262626"/>
        </w:rPr>
        <w:t>ekspert BCC.</w:t>
      </w:r>
    </w:p>
    <w:p w14:paraId="79998A31" w14:textId="77777777" w:rsidR="006C474E" w:rsidRDefault="006C474E">
      <w:pPr>
        <w:suppressAutoHyphens/>
        <w:spacing w:before="75" w:after="75" w:line="240" w:lineRule="auto"/>
        <w:jc w:val="both"/>
        <w:rPr>
          <w:rFonts w:ascii="Arial" w:eastAsia="Arial" w:hAnsi="Arial" w:cs="Arial"/>
          <w:b/>
          <w:bCs/>
          <w:u w:color="262626"/>
        </w:rPr>
      </w:pPr>
    </w:p>
    <w:p w14:paraId="12576507" w14:textId="77777777" w:rsidR="006C474E" w:rsidRDefault="00000000">
      <w:pPr>
        <w:suppressAutoHyphens/>
        <w:spacing w:before="75" w:after="75" w:line="240" w:lineRule="auto"/>
        <w:jc w:val="both"/>
        <w:rPr>
          <w:rFonts w:ascii="Arial" w:eastAsia="Arial" w:hAnsi="Arial" w:cs="Arial"/>
          <w:u w:color="262626"/>
        </w:rPr>
      </w:pPr>
      <w:r>
        <w:rPr>
          <w:rFonts w:ascii="Arial" w:hAnsi="Arial"/>
          <w:b/>
          <w:bCs/>
          <w:u w:color="262626"/>
        </w:rPr>
        <w:t>Aktualne wartości stóp:</w:t>
      </w:r>
    </w:p>
    <w:p w14:paraId="3DCB6E52" w14:textId="77777777" w:rsidR="006C474E" w:rsidRDefault="00000000">
      <w:pPr>
        <w:suppressAutoHyphens/>
        <w:spacing w:before="75" w:after="75" w:line="240" w:lineRule="auto"/>
        <w:jc w:val="both"/>
        <w:rPr>
          <w:rFonts w:ascii="Arial" w:eastAsia="Arial" w:hAnsi="Arial" w:cs="Arial"/>
          <w:u w:color="262626"/>
        </w:rPr>
      </w:pPr>
      <w:r>
        <w:rPr>
          <w:rFonts w:ascii="Arial" w:hAnsi="Arial"/>
          <w:u w:color="262626"/>
        </w:rPr>
        <w:t> </w:t>
      </w:r>
    </w:p>
    <w:p w14:paraId="40542325" w14:textId="77777777" w:rsidR="006C474E" w:rsidRDefault="00000000">
      <w:pPr>
        <w:spacing w:line="264" w:lineRule="auto"/>
        <w:jc w:val="both"/>
        <w:rPr>
          <w:rFonts w:ascii="Arial" w:eastAsia="Arial" w:hAnsi="Arial" w:cs="Arial"/>
          <w:sz w:val="16"/>
          <w:szCs w:val="16"/>
          <w:u w:color="262626"/>
        </w:rPr>
      </w:pPr>
      <w:r>
        <w:rPr>
          <w:rFonts w:ascii="Arial" w:hAnsi="Arial"/>
          <w:sz w:val="16"/>
          <w:szCs w:val="16"/>
          <w:u w:color="262626"/>
        </w:rPr>
        <w:t>stopa referencyjna wynosi 5,25 proc.,</w:t>
      </w:r>
    </w:p>
    <w:p w14:paraId="76D516BC" w14:textId="77777777" w:rsidR="006C474E" w:rsidRDefault="00000000">
      <w:pPr>
        <w:spacing w:line="264" w:lineRule="auto"/>
        <w:jc w:val="both"/>
        <w:rPr>
          <w:rFonts w:ascii="Arial" w:eastAsia="Arial" w:hAnsi="Arial" w:cs="Arial"/>
          <w:sz w:val="16"/>
          <w:szCs w:val="16"/>
          <w:u w:color="262626"/>
        </w:rPr>
      </w:pPr>
      <w:r>
        <w:rPr>
          <w:rFonts w:ascii="Arial" w:hAnsi="Arial"/>
          <w:sz w:val="16"/>
          <w:szCs w:val="16"/>
          <w:u w:color="262626"/>
        </w:rPr>
        <w:t>lombardowa: 5,75 proc.,</w:t>
      </w:r>
    </w:p>
    <w:p w14:paraId="67D61165" w14:textId="77777777" w:rsidR="006C474E" w:rsidRDefault="00000000">
      <w:pPr>
        <w:spacing w:line="264" w:lineRule="auto"/>
        <w:jc w:val="both"/>
        <w:rPr>
          <w:rFonts w:ascii="Arial" w:eastAsia="Arial" w:hAnsi="Arial" w:cs="Arial"/>
          <w:sz w:val="16"/>
          <w:szCs w:val="16"/>
          <w:u w:color="262626"/>
        </w:rPr>
      </w:pPr>
      <w:r>
        <w:rPr>
          <w:rFonts w:ascii="Arial" w:hAnsi="Arial"/>
          <w:sz w:val="16"/>
          <w:szCs w:val="16"/>
          <w:u w:color="262626"/>
        </w:rPr>
        <w:t>depozytowa: 4,75 proc.,</w:t>
      </w:r>
    </w:p>
    <w:p w14:paraId="1A664D80" w14:textId="77777777" w:rsidR="006C474E" w:rsidRDefault="00000000">
      <w:pPr>
        <w:spacing w:line="264" w:lineRule="auto"/>
        <w:jc w:val="both"/>
        <w:rPr>
          <w:rFonts w:ascii="Arial" w:eastAsia="Arial" w:hAnsi="Arial" w:cs="Arial"/>
          <w:sz w:val="16"/>
          <w:szCs w:val="16"/>
          <w:u w:color="262626"/>
        </w:rPr>
      </w:pPr>
      <w:r>
        <w:rPr>
          <w:rFonts w:ascii="Arial" w:hAnsi="Arial"/>
          <w:sz w:val="16"/>
          <w:szCs w:val="16"/>
          <w:u w:color="262626"/>
        </w:rPr>
        <w:t>redyskontowa weksli: 5,30 proc.,</w:t>
      </w:r>
    </w:p>
    <w:p w14:paraId="61B7DA00" w14:textId="77777777" w:rsidR="006C474E" w:rsidRDefault="00000000">
      <w:pPr>
        <w:spacing w:line="264" w:lineRule="auto"/>
        <w:jc w:val="both"/>
        <w:rPr>
          <w:rFonts w:ascii="Arial" w:eastAsia="Arial" w:hAnsi="Arial" w:cs="Arial"/>
          <w:sz w:val="16"/>
          <w:szCs w:val="16"/>
          <w:u w:color="262626"/>
        </w:rPr>
      </w:pPr>
      <w:r>
        <w:rPr>
          <w:rFonts w:ascii="Arial" w:hAnsi="Arial"/>
          <w:sz w:val="16"/>
          <w:szCs w:val="16"/>
          <w:u w:color="262626"/>
        </w:rPr>
        <w:t>dyskontowa weksli: 5,35 proc.</w:t>
      </w:r>
    </w:p>
    <w:p w14:paraId="6BACA04A" w14:textId="77777777" w:rsidR="00712FDA" w:rsidRDefault="00712FDA">
      <w:pPr>
        <w:spacing w:line="264" w:lineRule="auto"/>
        <w:jc w:val="both"/>
        <w:rPr>
          <w:rFonts w:ascii="Arial" w:hAnsi="Arial"/>
          <w:b/>
          <w:bCs/>
          <w:u w:color="262626"/>
          <w:lang w:val="pl-PL"/>
        </w:rPr>
      </w:pPr>
    </w:p>
    <w:p w14:paraId="5E664C78" w14:textId="77777777" w:rsidR="00712FDA" w:rsidRDefault="00712FDA">
      <w:pPr>
        <w:spacing w:line="264" w:lineRule="auto"/>
        <w:jc w:val="both"/>
        <w:rPr>
          <w:rFonts w:ascii="Arial" w:hAnsi="Arial"/>
          <w:b/>
          <w:bCs/>
          <w:u w:color="262626"/>
          <w:lang w:val="pl-PL"/>
        </w:rPr>
      </w:pPr>
    </w:p>
    <w:p w14:paraId="65331C2C" w14:textId="588E191D" w:rsidR="006C474E" w:rsidRDefault="00000000">
      <w:pPr>
        <w:spacing w:line="264" w:lineRule="auto"/>
        <w:jc w:val="both"/>
        <w:rPr>
          <w:rFonts w:ascii="Arial" w:eastAsia="Arial" w:hAnsi="Arial" w:cs="Arial"/>
          <w:b/>
          <w:bCs/>
          <w:u w:color="262626"/>
        </w:rPr>
      </w:pPr>
      <w:r>
        <w:rPr>
          <w:rFonts w:ascii="Arial" w:hAnsi="Arial"/>
          <w:b/>
          <w:bCs/>
          <w:u w:color="262626"/>
        </w:rPr>
        <w:lastRenderedPageBreak/>
        <w:t>Obniżki odczują kredytobiorcy</w:t>
      </w:r>
    </w:p>
    <w:p w14:paraId="74CCAC95" w14:textId="77777777" w:rsidR="006C474E" w:rsidRDefault="00000000">
      <w:pPr>
        <w:spacing w:line="264" w:lineRule="auto"/>
        <w:jc w:val="both"/>
        <w:rPr>
          <w:rFonts w:ascii="Arial" w:hAnsi="Arial"/>
          <w:u w:color="262626"/>
          <w:lang w:val="pl-PL"/>
        </w:rPr>
      </w:pPr>
      <w:r>
        <w:rPr>
          <w:rFonts w:ascii="Arial" w:hAnsi="Arial"/>
          <w:u w:color="262626"/>
        </w:rPr>
        <w:t>Obniżenie stopy referencyjnej do 5,25 proc. wiąże się z tym, że maksymalne oprocentowanie kredytu konsumenckiego nie może być wyższe niż 17,50 proc. w skali roku.</w:t>
      </w:r>
    </w:p>
    <w:p w14:paraId="622897D0" w14:textId="77777777" w:rsidR="00712FDA" w:rsidRPr="00712FDA" w:rsidRDefault="00712FDA">
      <w:pPr>
        <w:spacing w:line="264" w:lineRule="auto"/>
        <w:jc w:val="both"/>
        <w:rPr>
          <w:rFonts w:ascii="Arial" w:eastAsia="Arial" w:hAnsi="Arial" w:cs="Arial"/>
          <w:lang w:val="pl-PL"/>
        </w:rPr>
      </w:pPr>
    </w:p>
    <w:p w14:paraId="6B05BFD8" w14:textId="77777777" w:rsidR="006C474E" w:rsidRDefault="00000000">
      <w:pPr>
        <w:spacing w:after="140" w:line="168" w:lineRule="auto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>
        <w:rPr>
          <w:rFonts w:ascii="Arial" w:hAnsi="Arial"/>
          <w:b/>
          <w:bCs/>
          <w:sz w:val="16"/>
          <w:szCs w:val="16"/>
          <w:u w:val="single"/>
        </w:rPr>
        <w:t>Kontakt dla medi</w:t>
      </w:r>
      <w:r>
        <w:rPr>
          <w:rFonts w:ascii="Arial" w:hAnsi="Arial"/>
          <w:b/>
          <w:bCs/>
          <w:sz w:val="16"/>
          <w:szCs w:val="16"/>
          <w:u w:val="single"/>
          <w:lang w:val="es-ES_tradnl"/>
        </w:rPr>
        <w:t>ó</w:t>
      </w:r>
      <w:r>
        <w:rPr>
          <w:rFonts w:ascii="Arial" w:hAnsi="Arial"/>
          <w:b/>
          <w:bCs/>
          <w:sz w:val="16"/>
          <w:szCs w:val="16"/>
          <w:u w:val="single"/>
        </w:rPr>
        <w:t>w:</w:t>
      </w:r>
    </w:p>
    <w:p w14:paraId="569DBB14" w14:textId="77777777" w:rsidR="006C474E" w:rsidRPr="00712FDA" w:rsidRDefault="00000000">
      <w:pPr>
        <w:pStyle w:val="Bezodstpw"/>
        <w:spacing w:after="140" w:line="168" w:lineRule="auto"/>
        <w:rPr>
          <w:rStyle w:val="Brak"/>
          <w:sz w:val="18"/>
          <w:szCs w:val="18"/>
          <w:lang w:val="pl-PL"/>
        </w:rPr>
      </w:pPr>
      <w:r w:rsidRPr="00712FDA">
        <w:rPr>
          <w:sz w:val="18"/>
          <w:szCs w:val="18"/>
          <w:lang w:val="pl-PL"/>
        </w:rPr>
        <w:t xml:space="preserve">Agencja Open Minded Group: </w:t>
      </w:r>
      <w:hyperlink r:id="rId7" w:history="1">
        <w:r>
          <w:rPr>
            <w:rStyle w:val="Hyperlink0"/>
          </w:rPr>
          <w:t>pr@openmindedgroup.pl</w:t>
        </w:r>
      </w:hyperlink>
    </w:p>
    <w:p w14:paraId="7C1EC09C" w14:textId="77777777" w:rsidR="006C474E" w:rsidRPr="00712FDA" w:rsidRDefault="00000000">
      <w:pPr>
        <w:pStyle w:val="Bezodstpw"/>
        <w:spacing w:after="140" w:line="168" w:lineRule="auto"/>
        <w:rPr>
          <w:rStyle w:val="Brak"/>
          <w:sz w:val="18"/>
          <w:szCs w:val="18"/>
          <w:lang w:val="pl-PL"/>
        </w:rPr>
      </w:pPr>
      <w:r w:rsidRPr="00712FDA">
        <w:rPr>
          <w:rStyle w:val="Brak"/>
          <w:sz w:val="18"/>
          <w:szCs w:val="18"/>
          <w:lang w:val="pl-PL"/>
        </w:rPr>
        <w:t xml:space="preserve">Ewelina Rozpara (BCC): </w:t>
      </w:r>
      <w:hyperlink r:id="rId8" w:history="1">
        <w:r w:rsidRPr="00712FDA">
          <w:rPr>
            <w:rStyle w:val="Hyperlink1"/>
            <w:lang w:val="pl-PL"/>
          </w:rPr>
          <w:t>ewelina.rozpara@bcc.pl</w:t>
        </w:r>
      </w:hyperlink>
    </w:p>
    <w:p w14:paraId="42D0126A" w14:textId="77777777" w:rsidR="006C474E" w:rsidRPr="00712FDA" w:rsidRDefault="006C474E">
      <w:pPr>
        <w:pStyle w:val="Bezodstpw"/>
        <w:spacing w:after="140" w:line="168" w:lineRule="auto"/>
        <w:rPr>
          <w:rStyle w:val="Brak"/>
          <w:rFonts w:ascii="Arial" w:eastAsia="Arial" w:hAnsi="Arial" w:cs="Arial"/>
          <w:sz w:val="16"/>
          <w:szCs w:val="16"/>
          <w:lang w:val="pl-PL"/>
        </w:rPr>
      </w:pPr>
    </w:p>
    <w:p w14:paraId="435F3C28" w14:textId="77777777" w:rsidR="006C474E" w:rsidRDefault="006C474E">
      <w:pPr>
        <w:spacing w:line="264" w:lineRule="auto"/>
        <w:rPr>
          <w:rStyle w:val="Brak"/>
          <w:rFonts w:ascii="Arial" w:eastAsia="Arial" w:hAnsi="Arial" w:cs="Arial"/>
        </w:rPr>
      </w:pPr>
    </w:p>
    <w:p w14:paraId="3793A798" w14:textId="77777777" w:rsidR="006C474E" w:rsidRDefault="006C474E">
      <w:pPr>
        <w:spacing w:line="264" w:lineRule="auto"/>
        <w:rPr>
          <w:rStyle w:val="Brak"/>
          <w:rFonts w:ascii="Arial" w:eastAsia="Arial" w:hAnsi="Arial" w:cs="Arial"/>
        </w:rPr>
      </w:pPr>
    </w:p>
    <w:p w14:paraId="36913CA0" w14:textId="77777777" w:rsidR="006C474E" w:rsidRDefault="00000000">
      <w:pPr>
        <w:pBdr>
          <w:top w:val="single" w:sz="4" w:space="0" w:color="000000"/>
        </w:pBdr>
        <w:spacing w:line="264" w:lineRule="auto"/>
        <w:rPr>
          <w:rStyle w:val="Brak"/>
          <w:rFonts w:ascii="Arial" w:eastAsia="Arial" w:hAnsi="Arial" w:cs="Arial"/>
        </w:rPr>
      </w:pPr>
      <w:r>
        <w:rPr>
          <w:rStyle w:val="Brak"/>
          <w:rFonts w:ascii="Arial" w:eastAsia="Arial" w:hAnsi="Arial" w:cs="Arial"/>
          <w:noProof/>
        </w:rPr>
        <w:drawing>
          <wp:anchor distT="57150" distB="57150" distL="57150" distR="57150" simplePos="0" relativeHeight="251659264" behindDoc="0" locked="0" layoutInCell="1" allowOverlap="1" wp14:anchorId="42E8F60E" wp14:editId="7E345617">
            <wp:simplePos x="0" y="0"/>
            <wp:positionH relativeFrom="page">
              <wp:posOffset>899158</wp:posOffset>
            </wp:positionH>
            <wp:positionV relativeFrom="line">
              <wp:posOffset>196850</wp:posOffset>
            </wp:positionV>
            <wp:extent cx="670560" cy="670560"/>
            <wp:effectExtent l="0" t="0" r="0" b="0"/>
            <wp:wrapSquare wrapText="bothSides" distT="57150" distB="57150" distL="57150" distR="57150"/>
            <wp:docPr id="1073741826" name="officeArt object" descr="Obraz zawierający wzór, kwadrat, Symetria, Prostoką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zawierający wzór, kwadrat, Symetria, ProstokątOpis wygenerowany automatycznie" descr="Obraz zawierający wzór, kwadrat, Symetria, ProstokątOpis wygenerowany automatyczni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CCF87C2" w14:textId="77777777" w:rsidR="006C474E" w:rsidRDefault="00000000">
      <w:pPr>
        <w:spacing w:line="264" w:lineRule="auto"/>
        <w:rPr>
          <w:rStyle w:val="Brak"/>
          <w:rFonts w:ascii="Arial" w:eastAsia="Arial" w:hAnsi="Arial" w:cs="Arial"/>
          <w:sz w:val="14"/>
          <w:szCs w:val="14"/>
        </w:rPr>
      </w:pPr>
      <w:r>
        <w:rPr>
          <w:rStyle w:val="Brak"/>
          <w:rFonts w:ascii="Arial" w:hAnsi="Arial"/>
          <w:sz w:val="14"/>
          <w:szCs w:val="14"/>
        </w:rPr>
        <w:t>Business Centre Club to największa w kraju ustawowa organizacja indywidualnych pracodawc</w:t>
      </w:r>
      <w:r>
        <w:rPr>
          <w:rStyle w:val="Brak"/>
          <w:rFonts w:ascii="Arial" w:hAnsi="Arial"/>
          <w:sz w:val="14"/>
          <w:szCs w:val="14"/>
          <w:lang w:val="es-ES_tradnl"/>
        </w:rPr>
        <w:t>ó</w:t>
      </w:r>
      <w:r>
        <w:rPr>
          <w:rStyle w:val="Brak"/>
          <w:rFonts w:ascii="Arial" w:hAnsi="Arial"/>
          <w:sz w:val="14"/>
          <w:szCs w:val="14"/>
        </w:rPr>
        <w:t>w. Członkowie Klubu zatrudniają ponad 400 tys. pracownik</w:t>
      </w:r>
      <w:r>
        <w:rPr>
          <w:rStyle w:val="Brak"/>
          <w:rFonts w:ascii="Arial" w:hAnsi="Arial"/>
          <w:sz w:val="14"/>
          <w:szCs w:val="14"/>
          <w:lang w:val="es-ES_tradnl"/>
        </w:rPr>
        <w:t>ó</w:t>
      </w:r>
      <w:r>
        <w:rPr>
          <w:rStyle w:val="Brak"/>
          <w:rFonts w:ascii="Arial" w:hAnsi="Arial"/>
          <w:sz w:val="14"/>
          <w:szCs w:val="14"/>
        </w:rPr>
        <w:t>w, przychody firm to ponad 200 miliard</w:t>
      </w:r>
      <w:r>
        <w:rPr>
          <w:rStyle w:val="Brak"/>
          <w:rFonts w:ascii="Arial" w:hAnsi="Arial"/>
          <w:sz w:val="14"/>
          <w:szCs w:val="14"/>
          <w:lang w:val="es-ES_tradnl"/>
        </w:rPr>
        <w:t>ó</w:t>
      </w:r>
      <w:r>
        <w:rPr>
          <w:rStyle w:val="Brak"/>
          <w:rFonts w:ascii="Arial" w:hAnsi="Arial"/>
          <w:sz w:val="14"/>
          <w:szCs w:val="14"/>
        </w:rPr>
        <w:t>w złotych, a siedziby rozlokowane są w 250 miastach. Na terenie Polski działają 22 loże regionalne. Do BCC należą przedstawiciele wszystkich branż, międzynarodowe korporacje, instytucje finansowe i ubezpieczeniowe, firmy telekomunikacyjne, najwięksi polscy producenci, uczelnie wyższe, koncerny wydawnicze i znane kancelarie prawne. Członkami BCC – klubu przedsiębiorc</w:t>
      </w:r>
      <w:r>
        <w:rPr>
          <w:rStyle w:val="Brak"/>
          <w:rFonts w:ascii="Arial" w:hAnsi="Arial"/>
          <w:sz w:val="14"/>
          <w:szCs w:val="14"/>
          <w:lang w:val="es-ES_tradnl"/>
        </w:rPr>
        <w:t>ó</w:t>
      </w:r>
      <w:r>
        <w:rPr>
          <w:rStyle w:val="Brak"/>
          <w:rFonts w:ascii="Arial" w:hAnsi="Arial"/>
          <w:sz w:val="14"/>
          <w:szCs w:val="14"/>
        </w:rPr>
        <w:t xml:space="preserve">w są także prawnicy, dziennikarze, naukowcy, wydawcy, lekarze, wojskowi i studenci. </w:t>
      </w:r>
    </w:p>
    <w:p w14:paraId="4098222D" w14:textId="77777777" w:rsidR="006C474E" w:rsidRDefault="00000000">
      <w:pPr>
        <w:spacing w:line="264" w:lineRule="auto"/>
      </w:pPr>
      <w:r>
        <w:rPr>
          <w:rStyle w:val="Brak"/>
          <w:rFonts w:ascii="Arial" w:hAnsi="Arial"/>
          <w:sz w:val="14"/>
          <w:szCs w:val="14"/>
        </w:rPr>
        <w:t xml:space="preserve">Business Centre Club w mediach społecznościowych: </w:t>
      </w:r>
      <w:hyperlink r:id="rId10" w:history="1">
        <w:r>
          <w:rPr>
            <w:rStyle w:val="Hyperlink2"/>
          </w:rPr>
          <w:t>LinkedIn &gt;</w:t>
        </w:r>
      </w:hyperlink>
      <w:r>
        <w:rPr>
          <w:rStyle w:val="Brak"/>
          <w:rFonts w:ascii="Arial" w:hAnsi="Arial"/>
          <w:sz w:val="14"/>
          <w:szCs w:val="14"/>
        </w:rPr>
        <w:t xml:space="preserve"> </w:t>
      </w:r>
      <w:hyperlink r:id="rId11" w:history="1">
        <w:r>
          <w:rPr>
            <w:rStyle w:val="Hyperlink2"/>
          </w:rPr>
          <w:t>Facebook &gt;</w:t>
        </w:r>
      </w:hyperlink>
      <w:r>
        <w:rPr>
          <w:rStyle w:val="Brak"/>
          <w:rFonts w:ascii="Arial" w:hAnsi="Arial"/>
          <w:sz w:val="14"/>
          <w:szCs w:val="14"/>
        </w:rPr>
        <w:t xml:space="preserve"> </w:t>
      </w:r>
      <w:hyperlink r:id="rId12" w:history="1">
        <w:r>
          <w:rPr>
            <w:rStyle w:val="Hyperlink3"/>
          </w:rPr>
          <w:t>Twitter &gt;</w:t>
        </w:r>
      </w:hyperlink>
    </w:p>
    <w:sectPr w:rsidR="006C474E">
      <w:headerReference w:type="default" r:id="rId13"/>
      <w:footerReference w:type="default" r:id="rId14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8DF88" w14:textId="77777777" w:rsidR="008401A6" w:rsidRDefault="008401A6">
      <w:pPr>
        <w:spacing w:after="0" w:line="240" w:lineRule="auto"/>
      </w:pPr>
      <w:r>
        <w:separator/>
      </w:r>
    </w:p>
  </w:endnote>
  <w:endnote w:type="continuationSeparator" w:id="0">
    <w:p w14:paraId="76C64205" w14:textId="77777777" w:rsidR="008401A6" w:rsidRDefault="00840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B760F" w14:textId="77777777" w:rsidR="006C474E" w:rsidRDefault="006C474E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8E8C4" w14:textId="77777777" w:rsidR="008401A6" w:rsidRDefault="008401A6">
      <w:pPr>
        <w:spacing w:after="0" w:line="240" w:lineRule="auto"/>
      </w:pPr>
      <w:r>
        <w:separator/>
      </w:r>
    </w:p>
  </w:footnote>
  <w:footnote w:type="continuationSeparator" w:id="0">
    <w:p w14:paraId="6954C0B5" w14:textId="77777777" w:rsidR="008401A6" w:rsidRDefault="00840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55643" w14:textId="77777777" w:rsidR="006C474E" w:rsidRDefault="006C474E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74E"/>
    <w:rsid w:val="006C474E"/>
    <w:rsid w:val="00712FDA"/>
    <w:rsid w:val="008401A6"/>
    <w:rsid w:val="00A4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04065"/>
  <w15:docId w15:val="{FFF8AB3F-F19D-496A-B558-14191F1E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ru-RU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ezodstpw">
    <w:name w:val="No Spacing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FF"/>
      <w:sz w:val="18"/>
      <w:szCs w:val="18"/>
      <w:u w:val="single" w:color="0000FF"/>
      <w:lang w:val="de-DE"/>
    </w:rPr>
  </w:style>
  <w:style w:type="character" w:customStyle="1" w:styleId="Hyperlink1">
    <w:name w:val="Hyperlink.1"/>
    <w:basedOn w:val="Brak"/>
    <w:rPr>
      <w:outline w:val="0"/>
      <w:color w:val="0000FF"/>
      <w:sz w:val="18"/>
      <w:szCs w:val="18"/>
      <w:u w:val="single" w:color="0000FF"/>
    </w:rPr>
  </w:style>
  <w:style w:type="character" w:customStyle="1" w:styleId="Hyperlink2">
    <w:name w:val="Hyperlink.2"/>
    <w:basedOn w:val="Brak"/>
    <w:rPr>
      <w:rFonts w:ascii="Arial" w:eastAsia="Arial" w:hAnsi="Arial" w:cs="Arial"/>
      <w:outline w:val="0"/>
      <w:color w:val="0000FF"/>
      <w:sz w:val="14"/>
      <w:szCs w:val="14"/>
      <w:u w:val="single" w:color="0000FF"/>
      <w:lang w:val="nl-NL"/>
    </w:rPr>
  </w:style>
  <w:style w:type="character" w:customStyle="1" w:styleId="Hyperlink3">
    <w:name w:val="Hyperlink.3"/>
    <w:basedOn w:val="Brak"/>
    <w:rPr>
      <w:rFonts w:ascii="Arial" w:eastAsia="Arial" w:hAnsi="Arial" w:cs="Arial"/>
      <w:outline w:val="0"/>
      <w:color w:val="0000FF"/>
      <w:sz w:val="14"/>
      <w:szCs w:val="14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elina.rozpara@bcc.pl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@openmindedgroup.pl" TargetMode="External"/><Relationship Id="rId12" Type="http://schemas.openxmlformats.org/officeDocument/2006/relationships/hyperlink" Target="http://www.twitter.com/BCCor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facebook.com/businesscentreclub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linkedin.com/company/business-centre-club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Rybińska–Fliszkiewicz Joanna</dc:creator>
  <cp:lastModifiedBy>Rybińska–Fliszkiewicz Joanna</cp:lastModifiedBy>
  <cp:revision>2</cp:revision>
  <dcterms:created xsi:type="dcterms:W3CDTF">2025-05-08T13:52:00Z</dcterms:created>
  <dcterms:modified xsi:type="dcterms:W3CDTF">2025-05-08T13:52:00Z</dcterms:modified>
</cp:coreProperties>
</file>