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F1" w:rsidRPr="005F6806" w:rsidRDefault="004F1CF1" w:rsidP="004F1CF1">
      <w:pPr>
        <w:jc w:val="center"/>
        <w:rPr>
          <w:rFonts w:ascii="Garamond" w:eastAsia="Times New Roman" w:hAnsi="Garamond" w:cs="Times New Roman"/>
          <w:b/>
          <w:bCs/>
          <w:color w:val="993300"/>
          <w:spacing w:val="-24"/>
        </w:rPr>
      </w:pPr>
      <w:r>
        <w:rPr>
          <w:rFonts w:ascii="Garamond" w:eastAsia="Times New Roman" w:hAnsi="Garamond" w:cs="Times New Roman"/>
          <w:b/>
          <w:bCs/>
          <w:noProof/>
          <w:color w:val="993300"/>
          <w:spacing w:val="-24"/>
          <w:lang w:eastAsia="pl-PL" w:bidi="ar-SA"/>
        </w:rPr>
        <w:drawing>
          <wp:inline distT="0" distB="0" distL="0" distR="0" wp14:anchorId="5BE9B2D3" wp14:editId="2F7E2B09">
            <wp:extent cx="5760720" cy="882408"/>
            <wp:effectExtent l="0" t="0" r="0" b="0"/>
            <wp:docPr id="3" name="Obraz 3" descr="D:\Dokumenty\BCC\BCC - WAŻNE INFORMACJE I LOGO\BCC - i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BCC\BCC - WAŻNE INFORMACJE I LOGO\BCC - iw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F1" w:rsidRPr="005F6806" w:rsidRDefault="004F1CF1" w:rsidP="004F1CF1">
      <w:pPr>
        <w:tabs>
          <w:tab w:val="left" w:pos="2268"/>
          <w:tab w:val="left" w:pos="6804"/>
          <w:tab w:val="left" w:pos="8647"/>
        </w:tabs>
        <w:ind w:left="2268" w:right="2268"/>
        <w:jc w:val="center"/>
        <w:rPr>
          <w:rFonts w:ascii="Arial" w:eastAsia="Times New Roman" w:hAnsi="Arial" w:cs="Arial"/>
          <w:b/>
          <w:bCs/>
          <w:sz w:val="14"/>
          <w:szCs w:val="14"/>
        </w:rPr>
      </w:pPr>
    </w:p>
    <w:p w:rsidR="004F1CF1" w:rsidRPr="005F6806" w:rsidRDefault="004F1CF1" w:rsidP="004F1CF1">
      <w:pPr>
        <w:tabs>
          <w:tab w:val="left" w:pos="2268"/>
          <w:tab w:val="left" w:pos="6804"/>
          <w:tab w:val="left" w:pos="8647"/>
        </w:tabs>
        <w:ind w:left="2268" w:right="2268"/>
        <w:jc w:val="center"/>
        <w:outlineLvl w:val="0"/>
        <w:rPr>
          <w:rFonts w:ascii="Arial" w:eastAsia="Times New Roman" w:hAnsi="Arial" w:cs="Arial"/>
          <w:b/>
          <w:bCs/>
          <w:sz w:val="14"/>
          <w:szCs w:val="14"/>
        </w:rPr>
      </w:pPr>
      <w:r w:rsidRPr="005F6806">
        <w:rPr>
          <w:rFonts w:ascii="Arial" w:eastAsia="Times New Roman" w:hAnsi="Arial" w:cs="Arial"/>
          <w:b/>
          <w:bCs/>
          <w:sz w:val="14"/>
          <w:szCs w:val="14"/>
        </w:rPr>
        <w:t xml:space="preserve">Plac Żelaznej Bramy 10, 00-136 Warszawa, </w:t>
      </w:r>
    </w:p>
    <w:p w:rsidR="004F1CF1" w:rsidRPr="00D0492A" w:rsidRDefault="00A8191A" w:rsidP="00D0492A">
      <w:pPr>
        <w:tabs>
          <w:tab w:val="left" w:pos="0"/>
          <w:tab w:val="left" w:pos="8647"/>
          <w:tab w:val="left" w:pos="9072"/>
        </w:tabs>
        <w:jc w:val="center"/>
        <w:rPr>
          <w:rFonts w:ascii="Arial" w:eastAsia="Times New Roman" w:hAnsi="Arial" w:cs="Arial"/>
          <w:b/>
          <w:bCs/>
          <w:sz w:val="14"/>
          <w:szCs w:val="14"/>
        </w:rPr>
      </w:pPr>
      <w:hyperlink r:id="rId8" w:history="1">
        <w:r w:rsidR="004F1CF1" w:rsidRPr="00B23EA2">
          <w:rPr>
            <w:rStyle w:val="Hipercze"/>
            <w:rFonts w:ascii="Arial" w:eastAsia="Times New Roman" w:hAnsi="Arial" w:cs="Arial"/>
            <w:b/>
            <w:bCs/>
            <w:sz w:val="14"/>
            <w:szCs w:val="14"/>
          </w:rPr>
          <w:t>http://www.bcc.org.pl</w:t>
        </w:r>
      </w:hyperlink>
      <w:r w:rsidR="004F1CF1">
        <w:rPr>
          <w:rFonts w:ascii="Arial" w:eastAsia="Times New Roman" w:hAnsi="Arial" w:cs="Arial"/>
          <w:b/>
          <w:bCs/>
          <w:sz w:val="14"/>
          <w:szCs w:val="14"/>
        </w:rPr>
        <w:t xml:space="preserve"> </w:t>
      </w:r>
    </w:p>
    <w:p w:rsidR="004F1CF1" w:rsidRDefault="004F1CF1" w:rsidP="004F1CF1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eastAsia="Times New Roman" w:cs="Times New Roman"/>
          <w:b/>
          <w:bCs/>
          <w:smallCaps/>
          <w:color w:val="003366"/>
          <w:sz w:val="48"/>
          <w:szCs w:val="48"/>
        </w:rPr>
      </w:pPr>
      <w:r>
        <w:rPr>
          <w:rFonts w:ascii="Arial" w:eastAsia="Times New Roman" w:hAnsi="Arial" w:cs="Arial"/>
          <w:sz w:val="18"/>
          <w:szCs w:val="18"/>
        </w:rPr>
        <w:t>Warszawa, 2</w:t>
      </w:r>
      <w:r w:rsidR="00635FA7">
        <w:rPr>
          <w:rFonts w:ascii="Arial" w:eastAsia="Times New Roman" w:hAnsi="Arial" w:cs="Arial"/>
          <w:sz w:val="18"/>
          <w:szCs w:val="18"/>
        </w:rPr>
        <w:t>4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D0492A">
        <w:rPr>
          <w:rFonts w:ascii="Arial" w:eastAsia="Times New Roman" w:hAnsi="Arial" w:cs="Arial"/>
          <w:sz w:val="18"/>
          <w:szCs w:val="18"/>
        </w:rPr>
        <w:t>sierpnia</w:t>
      </w:r>
      <w:r>
        <w:rPr>
          <w:rFonts w:ascii="Arial" w:eastAsia="Times New Roman" w:hAnsi="Arial" w:cs="Arial"/>
          <w:sz w:val="18"/>
          <w:szCs w:val="18"/>
        </w:rPr>
        <w:t xml:space="preserve"> 2018 r.</w:t>
      </w:r>
    </w:p>
    <w:p w:rsidR="004F1CF1" w:rsidRPr="002C54A2" w:rsidRDefault="002C54A2" w:rsidP="004F1CF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tabs>
          <w:tab w:val="left" w:pos="0"/>
          <w:tab w:val="left" w:pos="8647"/>
          <w:tab w:val="left" w:pos="9072"/>
        </w:tabs>
        <w:spacing w:line="100" w:lineRule="atLeast"/>
        <w:jc w:val="center"/>
        <w:rPr>
          <w:rFonts w:asciiTheme="minorHAnsi" w:eastAsia="Calibri" w:hAnsiTheme="minorHAnsi" w:cstheme="minorHAnsi"/>
          <w:b/>
          <w:bCs/>
          <w:color w:val="1F497D" w:themeColor="text2"/>
          <w:sz w:val="48"/>
          <w:szCs w:val="48"/>
        </w:rPr>
      </w:pPr>
      <w:r w:rsidRPr="002C54A2">
        <w:rPr>
          <w:rFonts w:asciiTheme="minorHAnsi" w:eastAsia="Calibri" w:hAnsiTheme="minorHAnsi" w:cstheme="minorHAnsi"/>
          <w:b/>
          <w:bCs/>
          <w:color w:val="1F497D" w:themeColor="text2"/>
          <w:sz w:val="48"/>
          <w:szCs w:val="48"/>
        </w:rPr>
        <w:t>OPINIA</w:t>
      </w:r>
    </w:p>
    <w:p w:rsidR="004F1CF1" w:rsidRPr="002C54A2" w:rsidRDefault="004F1CF1" w:rsidP="004F1CF1">
      <w:pPr>
        <w:spacing w:line="100" w:lineRule="atLeast"/>
        <w:jc w:val="center"/>
        <w:rPr>
          <w:rFonts w:ascii="Arial" w:eastAsia="Calibri" w:hAnsi="Arial" w:cs="Arial"/>
          <w:b/>
          <w:bCs/>
          <w:i/>
          <w:sz w:val="36"/>
        </w:rPr>
      </w:pPr>
    </w:p>
    <w:p w:rsidR="002C54A2" w:rsidRDefault="00DF2D53" w:rsidP="00DF2D53">
      <w:pPr>
        <w:tabs>
          <w:tab w:val="left" w:pos="7641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Opinia </w:t>
      </w:r>
      <w:r w:rsidR="00635FA7">
        <w:rPr>
          <w:b/>
          <w:i/>
          <w:u w:val="single"/>
        </w:rPr>
        <w:t xml:space="preserve">BCC </w:t>
      </w:r>
      <w:r w:rsidRPr="00DF2D53">
        <w:rPr>
          <w:b/>
          <w:i/>
          <w:u w:val="single"/>
        </w:rPr>
        <w:t xml:space="preserve">do projektu rozporządzenia Rady Ministrów zmieniającego rozporządzenie </w:t>
      </w:r>
      <w:r w:rsidR="00DD6D4D">
        <w:rPr>
          <w:b/>
          <w:i/>
          <w:u w:val="single"/>
        </w:rPr>
        <w:br/>
      </w:r>
      <w:r w:rsidRPr="00DF2D53">
        <w:rPr>
          <w:b/>
          <w:i/>
          <w:u w:val="single"/>
        </w:rPr>
        <w:t>w sprawie warunków i trybu finansowania zwrotnego w ramach realizacji przez Bank Gospodarstwa Krajowego rządowego programu popierania budownictwa mieszkaniowego oraz minimalnych wymagań dotyczących lokali powstałych przy udziale tego finansowania</w:t>
      </w:r>
    </w:p>
    <w:p w:rsidR="00DF2D53" w:rsidRDefault="00DF2D53" w:rsidP="00D0492A">
      <w:pPr>
        <w:tabs>
          <w:tab w:val="left" w:pos="7641"/>
        </w:tabs>
        <w:rPr>
          <w:rStyle w:val="Pogrubienie"/>
          <w:rFonts w:asciiTheme="minorHAnsi" w:hAnsiTheme="minorHAnsi"/>
          <w:sz w:val="22"/>
        </w:rPr>
      </w:pP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 xml:space="preserve">Celem Projektu jest zapewnienie spójności przepisów wykonawczych ze znowelizowanymi ustawami, w szczególności poprzez uwzględnienie możliwości ubiegania się zarówno </w:t>
      </w:r>
      <w:r w:rsidR="00B964B9">
        <w:rPr>
          <w:rFonts w:asciiTheme="minorHAnsi" w:hAnsiTheme="minorHAnsi" w:cstheme="minorHAnsi"/>
        </w:rPr>
        <w:br/>
      </w:r>
      <w:r w:rsidRPr="00E305FD">
        <w:rPr>
          <w:rFonts w:asciiTheme="minorHAnsi" w:hAnsiTheme="minorHAnsi" w:cstheme="minorHAnsi"/>
        </w:rPr>
        <w:t xml:space="preserve">o finansowe wsparcie jak i finansowanie zwrotne w ramach jednego przedsięwzięcia, modyfikację trybu finansowania zwrotnego, korektę przepisów nakładających obowiązki instalacji urządzeń w budynku oraz modyfikację kryterium oceny punktowej wniosków. </w:t>
      </w:r>
    </w:p>
    <w:p w:rsidR="00E305FD" w:rsidRPr="00E305FD" w:rsidRDefault="00B964B9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Jednym z elementów Projektu jest dodanie</w:t>
      </w:r>
      <w:r w:rsidR="00E305FD" w:rsidRPr="00E305FD">
        <w:rPr>
          <w:rFonts w:asciiTheme="minorHAnsi" w:hAnsiTheme="minorHAnsi" w:cstheme="minorHAnsi"/>
        </w:rPr>
        <w:t xml:space="preserve"> do Rozporządzenia definicji „</w:t>
      </w:r>
      <w:r w:rsidR="00E305FD" w:rsidRPr="00E305FD">
        <w:rPr>
          <w:rFonts w:asciiTheme="minorHAnsi" w:hAnsiTheme="minorHAnsi" w:cstheme="minorHAnsi"/>
          <w:i/>
        </w:rPr>
        <w:t>finansowego wsparcia</w:t>
      </w:r>
      <w:r w:rsidR="00E305FD" w:rsidRPr="00E305FD">
        <w:rPr>
          <w:rFonts w:asciiTheme="minorHAnsi" w:hAnsiTheme="minorHAnsi" w:cstheme="minorHAnsi"/>
        </w:rPr>
        <w:t xml:space="preserve">”. Zmiana ta jest pożądana z punktu widzenia techniki prawodawczej z uwagi na potrzebę stosowania w aktach normatywnych jednolitej nomenklatury. Trafnie posłużono się przy tym techniką odesłania do Ustawy o finansowym wsparciu wskazując bezpośrednio, że Rozporządzenie służyć będzie wykonaniu również tego aktu normatywnego. </w:t>
      </w:r>
    </w:p>
    <w:p w:rsidR="00B964B9" w:rsidRPr="002C2384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  <w:u w:val="single"/>
        </w:rPr>
      </w:pPr>
      <w:r w:rsidRPr="002C2384">
        <w:rPr>
          <w:rFonts w:asciiTheme="minorHAnsi" w:hAnsiTheme="minorHAnsi" w:cstheme="minorHAnsi"/>
          <w:u w:val="single"/>
        </w:rPr>
        <w:t>Merytoryczna i zasługująca na zasadniczo pozytywną ocenę jest</w:t>
      </w:r>
      <w:r w:rsidR="00B964B9" w:rsidRPr="002C2384">
        <w:rPr>
          <w:rFonts w:asciiTheme="minorHAnsi" w:hAnsiTheme="minorHAnsi" w:cstheme="minorHAnsi"/>
          <w:u w:val="single"/>
        </w:rPr>
        <w:t>:</w:t>
      </w:r>
    </w:p>
    <w:p w:rsidR="00B964B9" w:rsidRPr="00B964B9" w:rsidRDefault="00635FA7" w:rsidP="00B964B9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305FD" w:rsidRPr="00B964B9">
        <w:rPr>
          <w:rFonts w:asciiTheme="minorHAnsi" w:hAnsiTheme="minorHAnsi" w:cstheme="minorHAnsi"/>
        </w:rPr>
        <w:t xml:space="preserve">roponowana w Projekcie zmiana </w:t>
      </w:r>
      <w:r w:rsidR="00B964B9" w:rsidRPr="00B964B9">
        <w:rPr>
          <w:rFonts w:asciiTheme="minorHAnsi" w:hAnsiTheme="minorHAnsi" w:cstheme="minorHAnsi"/>
        </w:rPr>
        <w:t>dotycząca</w:t>
      </w:r>
      <w:r w:rsidR="00E305FD" w:rsidRPr="00B964B9">
        <w:rPr>
          <w:rFonts w:asciiTheme="minorHAnsi" w:hAnsiTheme="minorHAnsi" w:cstheme="minorHAnsi"/>
        </w:rPr>
        <w:t xml:space="preserve"> ogranicz</w:t>
      </w:r>
      <w:r w:rsidR="00B964B9" w:rsidRPr="00B964B9">
        <w:rPr>
          <w:rFonts w:asciiTheme="minorHAnsi" w:hAnsiTheme="minorHAnsi" w:cstheme="minorHAnsi"/>
        </w:rPr>
        <w:t>enia</w:t>
      </w:r>
      <w:r w:rsidR="00E305FD" w:rsidRPr="00B964B9">
        <w:rPr>
          <w:rFonts w:asciiTheme="minorHAnsi" w:hAnsiTheme="minorHAnsi" w:cstheme="minorHAnsi"/>
        </w:rPr>
        <w:t xml:space="preserve"> katalog</w:t>
      </w:r>
      <w:r w:rsidR="00B964B9" w:rsidRPr="00B964B9">
        <w:rPr>
          <w:rFonts w:asciiTheme="minorHAnsi" w:hAnsiTheme="minorHAnsi" w:cstheme="minorHAnsi"/>
        </w:rPr>
        <w:t>u</w:t>
      </w:r>
      <w:r w:rsidR="00E305FD" w:rsidRPr="00B964B9">
        <w:rPr>
          <w:rFonts w:asciiTheme="minorHAnsi" w:hAnsiTheme="minorHAnsi" w:cstheme="minorHAnsi"/>
        </w:rPr>
        <w:t xml:space="preserve"> dokumentów obligatoryjnie załączanych do wniosku</w:t>
      </w:r>
      <w:r w:rsidR="00B964B9" w:rsidRPr="00B964B9">
        <w:rPr>
          <w:rFonts w:asciiTheme="minorHAnsi" w:hAnsiTheme="minorHAnsi" w:cstheme="minorHAnsi"/>
        </w:rPr>
        <w:t>,</w:t>
      </w:r>
      <w:r w:rsidR="00E305FD" w:rsidRPr="00B964B9">
        <w:rPr>
          <w:rFonts w:asciiTheme="minorHAnsi" w:hAnsiTheme="minorHAnsi" w:cstheme="minorHAnsi"/>
        </w:rPr>
        <w:t xml:space="preserve"> w szczególności rezygnując z obowiązkowego przedkładania danych z powszechnie dostępnych rejestrów (Krajowy Rejestr Sądowy oraz Księgi Wieczyste). </w:t>
      </w:r>
    </w:p>
    <w:p w:rsidR="000952CC" w:rsidRDefault="00366918" w:rsidP="0075063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0952CC">
        <w:rPr>
          <w:rFonts w:asciiTheme="minorHAnsi" w:hAnsiTheme="minorHAnsi" w:cstheme="minorHAnsi"/>
        </w:rPr>
        <w:t xml:space="preserve">Idea </w:t>
      </w:r>
      <w:r w:rsidR="00E305FD" w:rsidRPr="000952CC">
        <w:rPr>
          <w:rFonts w:asciiTheme="minorHAnsi" w:hAnsiTheme="minorHAnsi" w:cstheme="minorHAnsi"/>
        </w:rPr>
        <w:t>przedłożeni</w:t>
      </w:r>
      <w:r w:rsidRPr="000952CC">
        <w:rPr>
          <w:rFonts w:asciiTheme="minorHAnsi" w:hAnsiTheme="minorHAnsi" w:cstheme="minorHAnsi"/>
        </w:rPr>
        <w:t>a</w:t>
      </w:r>
      <w:r w:rsidR="00E305FD" w:rsidRPr="000952CC">
        <w:rPr>
          <w:rFonts w:asciiTheme="minorHAnsi" w:hAnsiTheme="minorHAnsi" w:cstheme="minorHAnsi"/>
        </w:rPr>
        <w:t xml:space="preserve"> decyzji o pozwoleniu na budowę lub zgłoszenia budowy lub innych robót. Dzięki temu obowiązek przedłożenia tej dokumentacji zostanie odsunięty </w:t>
      </w:r>
      <w:r w:rsidRPr="000952CC">
        <w:rPr>
          <w:rFonts w:asciiTheme="minorHAnsi" w:hAnsiTheme="minorHAnsi" w:cstheme="minorHAnsi"/>
        </w:rPr>
        <w:br/>
      </w:r>
      <w:r w:rsidR="00E305FD" w:rsidRPr="000952CC">
        <w:rPr>
          <w:rFonts w:asciiTheme="minorHAnsi" w:hAnsiTheme="minorHAnsi" w:cstheme="minorHAnsi"/>
        </w:rPr>
        <w:t>w czasie w postępowaniu, co może przyczynić się do przyspieszenia pierwszeg</w:t>
      </w:r>
      <w:r w:rsidR="000952CC">
        <w:rPr>
          <w:rFonts w:asciiTheme="minorHAnsi" w:hAnsiTheme="minorHAnsi" w:cstheme="minorHAnsi"/>
        </w:rPr>
        <w:t>o etapu rozpatrywania wniosków.</w:t>
      </w:r>
    </w:p>
    <w:p w:rsidR="00635FA7" w:rsidRPr="000952CC" w:rsidRDefault="00635FA7" w:rsidP="0075063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952CC">
        <w:rPr>
          <w:rFonts w:asciiTheme="minorHAnsi" w:hAnsiTheme="minorHAnsi" w:cstheme="minorHAnsi"/>
        </w:rPr>
        <w:t>M</w:t>
      </w:r>
      <w:r w:rsidRPr="000952CC">
        <w:rPr>
          <w:rFonts w:asciiTheme="minorHAnsi" w:hAnsiTheme="minorHAnsi" w:cstheme="minorHAnsi"/>
        </w:rPr>
        <w:t xml:space="preserve">odyfikacja rozszerzenia przepisu „wkład własny inwestora”. Uzasadnieniem tej </w:t>
      </w:r>
      <w:r w:rsidRPr="000952CC">
        <w:rPr>
          <w:rFonts w:asciiTheme="minorHAnsi" w:hAnsiTheme="minorHAnsi" w:cstheme="minorHAnsi"/>
        </w:rPr>
        <w:lastRenderedPageBreak/>
        <w:t>zmiany jest konieczność zapewnienia spójności Rozporządzenia z Ustawą o zmianie, której jednym z założeń było umożliwienie ubiegania się o finansowanie zwrotne przez spółdzielnie mieszkaniowe m.in. na inwestycje</w:t>
      </w:r>
      <w:r w:rsidRPr="000952CC">
        <w:rPr>
          <w:rFonts w:asciiTheme="minorHAnsi" w:hAnsiTheme="minorHAnsi" w:cstheme="minorHAnsi"/>
        </w:rPr>
        <w:t xml:space="preserve"> </w:t>
      </w:r>
      <w:r w:rsidRPr="000952CC">
        <w:rPr>
          <w:rFonts w:asciiTheme="minorHAnsi" w:hAnsiTheme="minorHAnsi" w:cstheme="minorHAnsi"/>
        </w:rPr>
        <w:t>w  związku z którymi powstaną lokale mieszkalne</w:t>
      </w:r>
      <w:r w:rsidRPr="000952CC">
        <w:rPr>
          <w:rFonts w:asciiTheme="minorHAnsi" w:hAnsiTheme="minorHAnsi" w:cstheme="minorHAnsi"/>
        </w:rPr>
        <w:t>,</w:t>
      </w:r>
      <w:r w:rsidRPr="000952CC">
        <w:rPr>
          <w:rFonts w:asciiTheme="minorHAnsi" w:hAnsiTheme="minorHAnsi" w:cstheme="minorHAnsi"/>
        </w:rPr>
        <w:t xml:space="preserve"> do których tytuł prawny stanowić będzie spółdzielcze lokatorskie prawo do lokalu mieszkalnego.</w:t>
      </w:r>
    </w:p>
    <w:p w:rsidR="00B964B9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 xml:space="preserve">Kluczową dla Projektu i zasługującą częściowo na pozytywną, a częściowo na negatywną ocenę jest propozycja fundamentalnej zmiany § 12 Rozporządzenia. </w:t>
      </w: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>Przede wszystkim krytycznie należy odnieść się do zmiany ust. 3 tj. „doprecyzowania” (zgodnie z Uzasadnieniem) wzoru obliczania kosztów netto wynikających ze świadczenia usługi publicznej w ogólnym interesie gospodarczym. W obecnym stanie prawnym</w:t>
      </w:r>
      <w:r w:rsidR="00394E7B">
        <w:rPr>
          <w:rFonts w:asciiTheme="minorHAnsi" w:hAnsiTheme="minorHAnsi" w:cstheme="minorHAnsi"/>
        </w:rPr>
        <w:t xml:space="preserve"> </w:t>
      </w:r>
      <w:r w:rsidRPr="00E305FD">
        <w:rPr>
          <w:rFonts w:asciiTheme="minorHAnsi" w:hAnsiTheme="minorHAnsi" w:cstheme="minorHAnsi"/>
        </w:rPr>
        <w:t>na koszt ten składa się (w pewnym uproszczeniu) suma kosztów związanych z usługą publiczną świadczoną w ogólnym interesie publicznym (KUOIG) i wkładu we wspólne koszty stałe kredytobiorcy przypisane do usługi publicznej świadczonej w ogólnym interesie gospodarczym (WKUOIG) pomniejszona o przychody kredytobiorcy związane z usługą publiczną świadczoną w ogólnym interesie gospodarczym (PUOIG), w danym czas</w:t>
      </w:r>
      <w:r w:rsidR="00394E7B">
        <w:rPr>
          <w:rFonts w:asciiTheme="minorHAnsi" w:hAnsiTheme="minorHAnsi" w:cstheme="minorHAnsi"/>
        </w:rPr>
        <w:t>ie</w:t>
      </w:r>
      <w:r w:rsidRPr="00E305FD">
        <w:rPr>
          <w:rFonts w:asciiTheme="minorHAnsi" w:hAnsiTheme="minorHAnsi" w:cstheme="minorHAnsi"/>
        </w:rPr>
        <w:t xml:space="preserve">. Projektodawca bez specjalnego uzasadnienia, wskazując jedynie, że koszty WKUOIG rzekomo zawierają się w kosztach KUOIG, proponuje rezygnację z uwzględniania w obliczeniach kosztów WKUOIG. </w:t>
      </w:r>
      <w:r w:rsidRPr="00B964B9">
        <w:rPr>
          <w:rFonts w:asciiTheme="minorHAnsi" w:hAnsiTheme="minorHAnsi" w:cstheme="minorHAnsi"/>
          <w:b/>
        </w:rPr>
        <w:t>Tak fundamentalna zmiana, w opinii BCC, wymaga dokładniejszego przemyślenia i uzasadnienia niż zdawkowe stwierdzenie zawarte w Uzasadnieniu.</w:t>
      </w:r>
      <w:r w:rsidRPr="00E305FD">
        <w:rPr>
          <w:rFonts w:asciiTheme="minorHAnsi" w:hAnsiTheme="minorHAnsi" w:cstheme="minorHAnsi"/>
        </w:rPr>
        <w:t xml:space="preserve"> Nie można bowiem zgodzić się, że jest to jedynie „</w:t>
      </w:r>
      <w:r w:rsidRPr="00E305FD">
        <w:rPr>
          <w:rFonts w:asciiTheme="minorHAnsi" w:hAnsiTheme="minorHAnsi" w:cstheme="minorHAnsi"/>
          <w:i/>
        </w:rPr>
        <w:t>zmiana o charakterze porządkującym</w:t>
      </w:r>
      <w:r w:rsidRPr="00E305FD">
        <w:rPr>
          <w:rFonts w:asciiTheme="minorHAnsi" w:hAnsiTheme="minorHAnsi" w:cstheme="minorHAnsi"/>
        </w:rPr>
        <w:t>” skoro wpływać będzie na zasadniczą zmianę sposobu dokonywania obliczeń na podstawie Rozporządzenia.</w:t>
      </w: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>Negatywnie należy ocenić proponowaną zmianę § 12 ust. 4 pkt 1 lit. g Rozporządzenia polegającą na usunięciu z przepisu słów „</w:t>
      </w:r>
      <w:r w:rsidRPr="00E305FD">
        <w:rPr>
          <w:rFonts w:asciiTheme="minorHAnsi" w:hAnsiTheme="minorHAnsi" w:cstheme="minorHAnsi"/>
          <w:i/>
        </w:rPr>
        <w:t>wykonanych na jego zlecenie</w:t>
      </w:r>
      <w:r w:rsidRPr="00E305FD">
        <w:rPr>
          <w:rFonts w:asciiTheme="minorHAnsi" w:hAnsiTheme="minorHAnsi" w:cstheme="minorHAnsi"/>
        </w:rPr>
        <w:t>”, które samo w sobie rzeczywiści</w:t>
      </w:r>
      <w:r w:rsidR="00394E7B">
        <w:rPr>
          <w:rFonts w:asciiTheme="minorHAnsi" w:hAnsiTheme="minorHAnsi" w:cstheme="minorHAnsi"/>
        </w:rPr>
        <w:t>e</w:t>
      </w:r>
      <w:r w:rsidRPr="00E305FD">
        <w:rPr>
          <w:rFonts w:asciiTheme="minorHAnsi" w:hAnsiTheme="minorHAnsi" w:cstheme="minorHAnsi"/>
        </w:rPr>
        <w:t xml:space="preserve"> mogło budzić wątpliwości. Zgodnie z Uzasadnieniem zmiana ta ma na celu rozszerzenie i tak przykładowego katalogu kosztów kredytobiorcy (sformułowanie </w:t>
      </w:r>
      <w:r w:rsidR="00394E7B">
        <w:rPr>
          <w:rFonts w:asciiTheme="minorHAnsi" w:hAnsiTheme="minorHAnsi" w:cstheme="minorHAnsi"/>
        </w:rPr>
        <w:br/>
      </w:r>
      <w:r w:rsidRPr="00E305FD">
        <w:rPr>
          <w:rFonts w:asciiTheme="minorHAnsi" w:hAnsiTheme="minorHAnsi" w:cstheme="minorHAnsi"/>
        </w:rPr>
        <w:t>„</w:t>
      </w:r>
      <w:r w:rsidRPr="00E305FD">
        <w:rPr>
          <w:rFonts w:asciiTheme="minorHAnsi" w:hAnsiTheme="minorHAnsi" w:cstheme="minorHAnsi"/>
          <w:i/>
        </w:rPr>
        <w:t>w szczególności</w:t>
      </w:r>
      <w:r w:rsidRPr="00E305FD">
        <w:rPr>
          <w:rFonts w:asciiTheme="minorHAnsi" w:hAnsiTheme="minorHAnsi" w:cstheme="minorHAnsi"/>
        </w:rPr>
        <w:t xml:space="preserve">” w ust. 4). W rzeczywistości jednak może to skutkować uznaniem, że </w:t>
      </w:r>
      <w:r w:rsidR="00394E7B">
        <w:rPr>
          <w:rFonts w:asciiTheme="minorHAnsi" w:hAnsiTheme="minorHAnsi" w:cstheme="minorHAnsi"/>
        </w:rPr>
        <w:br/>
      </w:r>
      <w:r w:rsidRPr="00E305FD">
        <w:rPr>
          <w:rFonts w:asciiTheme="minorHAnsi" w:hAnsiTheme="minorHAnsi" w:cstheme="minorHAnsi"/>
        </w:rPr>
        <w:t xml:space="preserve">w związku ze zmianą stanu prawnego czynności określone w § 12 ust. 4 pkt 1 lit. g niewykonane bezpośrednio przez inwestora, a jedynie przez podmiot trzeci na jego zlecenie nie mogą być uwzględniane. </w:t>
      </w:r>
      <w:r w:rsidRPr="00B964B9">
        <w:rPr>
          <w:rFonts w:asciiTheme="minorHAnsi" w:hAnsiTheme="minorHAnsi" w:cstheme="minorHAnsi"/>
          <w:b/>
        </w:rPr>
        <w:t>W opinii BCC proponowana zmiana wymaga istotnego przeredagowania.</w:t>
      </w:r>
      <w:r w:rsidRPr="00E305FD">
        <w:rPr>
          <w:rFonts w:asciiTheme="minorHAnsi" w:hAnsiTheme="minorHAnsi" w:cstheme="minorHAnsi"/>
        </w:rPr>
        <w:t xml:space="preserve"> Wystarczające byłoby przy tym, zamiast rezygnować z przedmiotowego sformułowania dodać przed nim słowo „lub”. W ten sposób sformułowanie tego przepisu „</w:t>
      </w:r>
      <w:r w:rsidRPr="00E305FD">
        <w:rPr>
          <w:rFonts w:asciiTheme="minorHAnsi" w:hAnsiTheme="minorHAnsi" w:cstheme="minorHAnsi"/>
          <w:i/>
        </w:rPr>
        <w:t>czynności wynikających z obowiązków inwestora lub wykonanych na jego zlecenie, w tym koszty projektowania, nadzoru oraz kierowania budową</w:t>
      </w:r>
      <w:r w:rsidRPr="00E305FD">
        <w:rPr>
          <w:rFonts w:asciiTheme="minorHAnsi" w:hAnsiTheme="minorHAnsi" w:cstheme="minorHAnsi"/>
        </w:rPr>
        <w:t>” nie powinno budzić wątpliwości interpretacyjnych i istotnie rozszerzałoby przykładowy katalog kosztów.</w:t>
      </w: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>Neutralnie należy odnieść się do proponowanej zmiany § 12 ust. 10 Rozporządzenia. Zgodnie z Uzasadnieniem, zmiana ta ma na celu dostosowanie przepisów do zmienionej sytuacji rynkowej i praktyki instytucji bankowych. Ta propozycja nowelizacji powinna zatem być oceniana bardziej z perspektywy ekonomicznej niż prawnej.</w:t>
      </w: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>Podobnie neutralnie należy odnieść się do propozycji dodania § 12 ust. 11, § 13 ust. 6a Rozporządzenia oraz Załącznika do Rozporządzenia lp.9. Z założenia, zgodnie z Uzasadnieniem, regulacje te mają dotyczyć możliwości stosowania jednocześnie finansowania zwrotnego i finansowego wsparcia przy obliczaniu rozsądnego zysku kredytobiorcy. Jako regulacje implementujące do Rozporządzenia kluczowe założenie nowelizacji przepisów o finansowaniu zwrotnym</w:t>
      </w:r>
      <w:r w:rsidR="00394E7B">
        <w:rPr>
          <w:rFonts w:asciiTheme="minorHAnsi" w:hAnsiTheme="minorHAnsi" w:cstheme="minorHAnsi"/>
        </w:rPr>
        <w:t>,</w:t>
      </w:r>
      <w:r w:rsidRPr="00E305FD">
        <w:rPr>
          <w:rFonts w:asciiTheme="minorHAnsi" w:hAnsiTheme="minorHAnsi" w:cstheme="minorHAnsi"/>
        </w:rPr>
        <w:t xml:space="preserve"> propozycję tę należy ocenić z zasady pozytywnie. Merytoryczna ocena szczegółowa tego zapisu, w szczególności jego adekwatności, prawidłowości i zgodności z realiami oraz założonymi celami powinna być jednak dokonywana przede wszystkim z perspektywy ekonomicznej.</w:t>
      </w: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 xml:space="preserve">Pozytywnie należy ocenić proponowaną zmianę § 15 ust. 1 pkt 2 Rozporządzenia polegającą na przeformułowaniu określenia urządzeń kuchennych, jakie znajdować się mają w lokalu mieszkalnym powstałym przy wykorzystaniu finansowania zwrotnego. Istotnie bowiem, dotychczasowe brzmienie </w:t>
      </w:r>
      <w:r w:rsidRPr="00E305FD">
        <w:rPr>
          <w:rFonts w:asciiTheme="minorHAnsi" w:hAnsiTheme="minorHAnsi" w:cstheme="minorHAnsi"/>
          <w:i/>
        </w:rPr>
        <w:t>„kuchenkę z piekarnikiem gazową lub elektryczną - w pomieszczeniu kuchennym</w:t>
      </w:r>
      <w:r w:rsidRPr="00E305FD">
        <w:rPr>
          <w:rFonts w:asciiTheme="minorHAnsi" w:hAnsiTheme="minorHAnsi" w:cstheme="minorHAnsi"/>
        </w:rPr>
        <w:t xml:space="preserve">” mogło budzić wątpliwości co do możliwości instalacji tych urządzeń osobno. Zaproponowane brzmienie w Projekcie usuwa te wątpliwości wprost dopuszczając instalację tych urządzeń oddzielnie i synchronizując terminologię rozporządzenia z innymi aktami normatywnymi. Jakkolwiek zmiana ta nie ma merytorycznego znaczenia dla kluczowego fragmentu nowelizacji jakim jest umożliwienie korzystania jednocześnie z finansowania zwrotnego i finansowego wsparcia, jako zmiana doprecyzowująca zasługuje na ocenę pozytywną. </w:t>
      </w:r>
    </w:p>
    <w:p w:rsidR="00E305FD" w:rsidRPr="00E305FD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E305FD">
        <w:rPr>
          <w:rFonts w:asciiTheme="minorHAnsi" w:hAnsiTheme="minorHAnsi" w:cstheme="minorHAnsi"/>
        </w:rPr>
        <w:t>§ 2 do § 4 Projektu zawierają przepisy przejściowe i wprowadzające, które co do zasady mają charakter techniczny i nie poddają się merytorycznej ocenie. Co do zasady jednak, p</w:t>
      </w:r>
      <w:r w:rsidR="00394E7B">
        <w:rPr>
          <w:rFonts w:asciiTheme="minorHAnsi" w:hAnsiTheme="minorHAnsi" w:cstheme="minorHAnsi"/>
        </w:rPr>
        <w:t xml:space="preserve">rzepisy te trafnie, w opinii </w:t>
      </w:r>
      <w:r w:rsidRPr="00E305FD">
        <w:rPr>
          <w:rFonts w:asciiTheme="minorHAnsi" w:hAnsiTheme="minorHAnsi" w:cstheme="minorHAnsi"/>
        </w:rPr>
        <w:t xml:space="preserve">BCC, regulują kwestie wejścia Rozporządzenia w brzmieniu nadanym nowelizacją w życie oraz prawidłowo nakazują stosować nowe Rozporządzenie w przypadku przyznania obu form wsparcia w odniesieniu do wniosków złożonych przed jego wejściem w życie. Sformułowanie takie powinno przyczynić się do ograniczenia wątpliwości interpretacyjnych w okresie przejściowym tuż po wejściu Rozporządzenia w życie. </w:t>
      </w:r>
    </w:p>
    <w:p w:rsidR="00E305FD" w:rsidRPr="00E305FD" w:rsidRDefault="00B964B9" w:rsidP="00B964B9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B964B9">
        <w:rPr>
          <w:rFonts w:asciiTheme="minorHAnsi" w:hAnsiTheme="minorHAnsi" w:cstheme="minorHAnsi"/>
          <w:b/>
        </w:rPr>
        <w:t xml:space="preserve">W </w:t>
      </w:r>
      <w:r w:rsidR="00E305FD" w:rsidRPr="00B964B9">
        <w:rPr>
          <w:rFonts w:asciiTheme="minorHAnsi" w:hAnsiTheme="minorHAnsi" w:cstheme="minorHAnsi"/>
          <w:b/>
        </w:rPr>
        <w:t>opinii BCC Projekt zasługuje generalnie na pozytywną ocenę</w:t>
      </w:r>
      <w:r w:rsidR="00E305FD" w:rsidRPr="00E305FD">
        <w:rPr>
          <w:rFonts w:asciiTheme="minorHAnsi" w:hAnsiTheme="minorHAnsi" w:cstheme="minorHAnsi"/>
        </w:rPr>
        <w:t xml:space="preserve">. Proponowana regulacja może stanowić adekwatny sposób realizacji wskazanych w Uzasadnieniu celów tj. wprowadzenia podwójnego modelu finansowania inwestycji oraz doprecyzowania obowiązujących przepisów. Większość postanowień została oceniona przez BCC w sposób pozytywny. Zmiana jaka nastąpi po wejściu w życie Rozporządzenia w zaproponowanym  kształcie mieć będzie w głównej mierze charakter techniczny i powinna zostać oceniona w aspekcie ekonomicznym. Z prawnego punktu widzenia Projekt wydaje się być sformułowany w sposób prawidłowy. </w:t>
      </w:r>
      <w:r w:rsidR="00635FA7">
        <w:rPr>
          <w:rFonts w:asciiTheme="minorHAnsi" w:hAnsiTheme="minorHAnsi" w:cstheme="minorHAnsi"/>
        </w:rPr>
        <w:t>BCC oczekuje, że z</w:t>
      </w:r>
      <w:r w:rsidR="00E305FD" w:rsidRPr="00E305FD">
        <w:rPr>
          <w:rFonts w:asciiTheme="minorHAnsi" w:hAnsiTheme="minorHAnsi" w:cstheme="minorHAnsi"/>
        </w:rPr>
        <w:t xml:space="preserve">astrzeżenia i uwagi wskazane w niniejszej opinii </w:t>
      </w:r>
      <w:r w:rsidR="00635FA7">
        <w:rPr>
          <w:rFonts w:asciiTheme="minorHAnsi" w:hAnsiTheme="minorHAnsi" w:cstheme="minorHAnsi"/>
        </w:rPr>
        <w:t>będą</w:t>
      </w:r>
      <w:r w:rsidR="00E305FD" w:rsidRPr="00E305FD">
        <w:rPr>
          <w:rFonts w:asciiTheme="minorHAnsi" w:hAnsiTheme="minorHAnsi" w:cstheme="minorHAnsi"/>
        </w:rPr>
        <w:t xml:space="preserve"> uwzględnione oraz sprostowane w Projekcie. Dzięki temu</w:t>
      </w:r>
      <w:r w:rsidR="00635FA7">
        <w:rPr>
          <w:rFonts w:asciiTheme="minorHAnsi" w:hAnsiTheme="minorHAnsi" w:cstheme="minorHAnsi"/>
        </w:rPr>
        <w:t xml:space="preserve"> </w:t>
      </w:r>
      <w:r w:rsidR="00E305FD" w:rsidRPr="00E305FD">
        <w:rPr>
          <w:rFonts w:asciiTheme="minorHAnsi" w:hAnsiTheme="minorHAnsi" w:cstheme="minorHAnsi"/>
        </w:rPr>
        <w:t>Projekt lepiej realizowałby założone cele.</w:t>
      </w:r>
      <w:r w:rsidR="00635FA7">
        <w:rPr>
          <w:rFonts w:asciiTheme="minorHAnsi" w:hAnsiTheme="minorHAnsi" w:cstheme="minorHAnsi"/>
        </w:rPr>
        <w:t xml:space="preserve"> Kluczowe</w:t>
      </w:r>
      <w:r w:rsidR="00E305FD" w:rsidRPr="00E305FD">
        <w:rPr>
          <w:rFonts w:asciiTheme="minorHAnsi" w:hAnsiTheme="minorHAnsi" w:cstheme="minorHAnsi"/>
        </w:rPr>
        <w:t xml:space="preserve"> postanowienia Projektu powinny mieć</w:t>
      </w:r>
      <w:r w:rsidR="00635FA7">
        <w:rPr>
          <w:rFonts w:asciiTheme="minorHAnsi" w:hAnsiTheme="minorHAnsi" w:cstheme="minorHAnsi"/>
        </w:rPr>
        <w:t xml:space="preserve"> </w:t>
      </w:r>
      <w:r w:rsidR="00E305FD" w:rsidRPr="00E305FD">
        <w:rPr>
          <w:rFonts w:asciiTheme="minorHAnsi" w:hAnsiTheme="minorHAnsi" w:cstheme="minorHAnsi"/>
        </w:rPr>
        <w:t xml:space="preserve">pozytywny </w:t>
      </w:r>
      <w:r w:rsidR="00635FA7">
        <w:rPr>
          <w:rFonts w:asciiTheme="minorHAnsi" w:hAnsiTheme="minorHAnsi" w:cstheme="minorHAnsi"/>
        </w:rPr>
        <w:t xml:space="preserve">wpływ </w:t>
      </w:r>
      <w:r w:rsidR="00E305FD" w:rsidRPr="00E305FD">
        <w:rPr>
          <w:rFonts w:asciiTheme="minorHAnsi" w:hAnsiTheme="minorHAnsi" w:cstheme="minorHAnsi"/>
        </w:rPr>
        <w:t xml:space="preserve">na sytuację </w:t>
      </w:r>
      <w:r w:rsidR="00394E7B">
        <w:rPr>
          <w:rFonts w:asciiTheme="minorHAnsi" w:hAnsiTheme="minorHAnsi" w:cstheme="minorHAnsi"/>
        </w:rPr>
        <w:t>panującą na rynku deweloperskim</w:t>
      </w:r>
      <w:r w:rsidR="00E305FD" w:rsidRPr="00E305FD">
        <w:rPr>
          <w:rFonts w:asciiTheme="minorHAnsi" w:hAnsiTheme="minorHAnsi" w:cstheme="minorHAnsi"/>
        </w:rPr>
        <w:t xml:space="preserve">. </w:t>
      </w:r>
    </w:p>
    <w:p w:rsidR="00DD6D4D" w:rsidRPr="00635FA7" w:rsidRDefault="00E305FD" w:rsidP="00B964B9">
      <w:pPr>
        <w:spacing w:before="240" w:after="240" w:line="360" w:lineRule="auto"/>
        <w:jc w:val="both"/>
        <w:rPr>
          <w:rFonts w:asciiTheme="minorHAnsi" w:hAnsiTheme="minorHAnsi" w:cstheme="minorHAnsi"/>
          <w:b/>
        </w:rPr>
      </w:pPr>
      <w:r w:rsidRPr="00635FA7">
        <w:rPr>
          <w:rFonts w:asciiTheme="minorHAnsi" w:hAnsiTheme="minorHAnsi" w:cstheme="minorHAnsi"/>
          <w:b/>
        </w:rPr>
        <w:t xml:space="preserve">W opinii BCC Projekt wymaga zatem jedynie nieznacznego dopracowania i rozważenia zgłoszonych postulatów w zakresie wskazanych w niniejszej opinii aspektów, a sam w sobie zasługuje na zasadniczo pozytywną ocenę. </w:t>
      </w:r>
    </w:p>
    <w:p w:rsidR="00D0492A" w:rsidRDefault="004F1CF1" w:rsidP="00D0492A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0492A">
        <w:rPr>
          <w:rFonts w:asciiTheme="minorHAnsi" w:hAnsiTheme="minorHAnsi" w:cstheme="minorHAnsi"/>
          <w:sz w:val="20"/>
          <w:szCs w:val="20"/>
          <w:u w:val="single"/>
        </w:rPr>
        <w:t>Kontakt dla mediów:</w:t>
      </w:r>
    </w:p>
    <w:p w:rsidR="007E643D" w:rsidRDefault="007E643D" w:rsidP="00D0492A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D6D4D" w:rsidRPr="00DD6D4D" w:rsidRDefault="00DD6D4D" w:rsidP="00DD6D4D">
      <w:pPr>
        <w:spacing w:line="10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6D4D">
        <w:rPr>
          <w:rFonts w:asciiTheme="minorHAnsi" w:hAnsiTheme="minorHAnsi" w:cstheme="minorHAnsi"/>
          <w:b/>
          <w:sz w:val="20"/>
          <w:szCs w:val="20"/>
        </w:rPr>
        <w:t>Łukasz Bernatowicz</w:t>
      </w:r>
    </w:p>
    <w:p w:rsidR="00DD6D4D" w:rsidRDefault="00DD6D4D" w:rsidP="00DD6D4D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D6D4D">
        <w:rPr>
          <w:rFonts w:asciiTheme="minorHAnsi" w:hAnsiTheme="minorHAnsi" w:cstheme="minorHAnsi"/>
          <w:sz w:val="20"/>
          <w:szCs w:val="20"/>
        </w:rPr>
        <w:t>ekspert ds. infrastruktury, prawa bud</w:t>
      </w:r>
      <w:r w:rsidR="00394E7B">
        <w:rPr>
          <w:rFonts w:asciiTheme="minorHAnsi" w:hAnsiTheme="minorHAnsi" w:cstheme="minorHAnsi"/>
          <w:sz w:val="20"/>
          <w:szCs w:val="20"/>
        </w:rPr>
        <w:t>owlanego i zamówień publicznych</w:t>
      </w:r>
      <w:r w:rsidRPr="00DD6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D4D" w:rsidRDefault="00DD6D4D" w:rsidP="00DD6D4D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D6D4D">
        <w:rPr>
          <w:rFonts w:asciiTheme="minorHAnsi" w:hAnsiTheme="minorHAnsi" w:cstheme="minorHAnsi"/>
          <w:sz w:val="20"/>
          <w:szCs w:val="20"/>
        </w:rPr>
        <w:t>cz</w:t>
      </w:r>
      <w:r w:rsidR="00394E7B">
        <w:rPr>
          <w:rFonts w:asciiTheme="minorHAnsi" w:hAnsiTheme="minorHAnsi" w:cstheme="minorHAnsi"/>
          <w:sz w:val="20"/>
          <w:szCs w:val="20"/>
        </w:rPr>
        <w:t>łonek Rady Dialogu Społecznego</w:t>
      </w:r>
    </w:p>
    <w:p w:rsidR="00DD6D4D" w:rsidRPr="00DD6D4D" w:rsidRDefault="00DD6D4D" w:rsidP="00DD6D4D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D6D4D">
        <w:rPr>
          <w:rFonts w:asciiTheme="minorHAnsi" w:hAnsiTheme="minorHAnsi" w:cstheme="minorHAnsi"/>
          <w:sz w:val="20"/>
          <w:szCs w:val="20"/>
        </w:rPr>
        <w:t>członek Rady Zamówień Publicznych</w:t>
      </w:r>
    </w:p>
    <w:p w:rsidR="00DD6D4D" w:rsidRPr="00DD6D4D" w:rsidRDefault="00DD6D4D" w:rsidP="00DD6D4D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D6D4D">
        <w:rPr>
          <w:rFonts w:asciiTheme="minorHAnsi" w:hAnsiTheme="minorHAnsi" w:cstheme="minorHAnsi"/>
          <w:sz w:val="20"/>
          <w:szCs w:val="20"/>
        </w:rPr>
        <w:t>502 066 619</w:t>
      </w:r>
    </w:p>
    <w:p w:rsidR="007E643D" w:rsidRPr="00DD6D4D" w:rsidRDefault="00A8191A" w:rsidP="00DD6D4D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DD6D4D" w:rsidRPr="00DD6D4D">
          <w:rPr>
            <w:rStyle w:val="Hipercze"/>
            <w:rFonts w:asciiTheme="minorHAnsi" w:hAnsiTheme="minorHAnsi" w:cstheme="minorHAnsi"/>
            <w:sz w:val="20"/>
            <w:szCs w:val="20"/>
          </w:rPr>
          <w:t>lukasz.bernatowicz@bcc.org.pl</w:t>
        </w:r>
      </w:hyperlink>
    </w:p>
    <w:p w:rsidR="00DD6D4D" w:rsidRPr="00D0492A" w:rsidRDefault="00DD6D4D" w:rsidP="00DD6D4D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7E643D" w:rsidRDefault="004F1CF1" w:rsidP="004F1CF1">
      <w:pPr>
        <w:pStyle w:val="Zwykytekst1"/>
        <w:rPr>
          <w:rFonts w:asciiTheme="minorHAnsi" w:hAnsiTheme="minorHAnsi" w:cstheme="minorHAnsi"/>
          <w:sz w:val="20"/>
          <w:szCs w:val="20"/>
          <w:lang w:val="pl-PL"/>
        </w:rPr>
      </w:pPr>
      <w:r w:rsidRPr="00D0492A">
        <w:rPr>
          <w:rFonts w:asciiTheme="minorHAnsi" w:hAnsiTheme="minorHAnsi" w:cstheme="minorHAnsi"/>
          <w:sz w:val="20"/>
          <w:szCs w:val="20"/>
          <w:lang w:val="pl-PL"/>
        </w:rPr>
        <w:t>Instytut Interwencji Gospodarczych BCC</w:t>
      </w:r>
    </w:p>
    <w:p w:rsidR="004F1CF1" w:rsidRPr="00D0492A" w:rsidRDefault="00A8191A" w:rsidP="004F1CF1">
      <w:pPr>
        <w:pStyle w:val="Zwykytekst1"/>
        <w:rPr>
          <w:rFonts w:asciiTheme="minorHAnsi" w:hAnsiTheme="minorHAnsi" w:cstheme="minorHAnsi"/>
          <w:sz w:val="20"/>
          <w:szCs w:val="20"/>
          <w:lang w:val="pl-PL"/>
        </w:rPr>
      </w:pPr>
      <w:hyperlink r:id="rId10" w:history="1">
        <w:r w:rsidR="004F1CF1" w:rsidRPr="00D0492A">
          <w:rPr>
            <w:rStyle w:val="Hipercze"/>
            <w:rFonts w:asciiTheme="minorHAnsi" w:hAnsiTheme="minorHAnsi" w:cstheme="minorHAnsi"/>
            <w:sz w:val="20"/>
            <w:szCs w:val="20"/>
          </w:rPr>
          <w:t>instytut@bcc.org.pl</w:t>
        </w:r>
      </w:hyperlink>
    </w:p>
    <w:p w:rsidR="004F1CF1" w:rsidRDefault="004F1CF1" w:rsidP="004F1CF1">
      <w:pPr>
        <w:pStyle w:val="Zwykytekst1"/>
        <w:rPr>
          <w:rFonts w:ascii="Arial" w:hAnsi="Arial" w:cs="Arial"/>
          <w:sz w:val="22"/>
          <w:szCs w:val="22"/>
        </w:rPr>
      </w:pPr>
    </w:p>
    <w:p w:rsidR="007E643D" w:rsidRDefault="007E643D" w:rsidP="004F1CF1">
      <w:pPr>
        <w:pStyle w:val="Zwykytekst1"/>
        <w:rPr>
          <w:rFonts w:ascii="Arial" w:hAnsi="Arial" w:cs="Arial"/>
          <w:sz w:val="22"/>
          <w:szCs w:val="22"/>
        </w:rPr>
      </w:pPr>
    </w:p>
    <w:p w:rsidR="007E643D" w:rsidRDefault="007E643D" w:rsidP="004F1CF1">
      <w:pPr>
        <w:pStyle w:val="Zwykytekst1"/>
        <w:rPr>
          <w:rFonts w:ascii="Arial" w:hAnsi="Arial" w:cs="Arial"/>
          <w:sz w:val="22"/>
          <w:szCs w:val="22"/>
        </w:rPr>
      </w:pPr>
    </w:p>
    <w:p w:rsidR="004F1CF1" w:rsidRDefault="004F1CF1" w:rsidP="004F1CF1">
      <w:pPr>
        <w:pBdr>
          <w:top w:val="single" w:sz="4" w:space="1" w:color="000000"/>
        </w:pBdr>
        <w:tabs>
          <w:tab w:val="left" w:pos="0"/>
          <w:tab w:val="left" w:pos="8647"/>
          <w:tab w:val="left" w:pos="9072"/>
        </w:tabs>
        <w:spacing w:line="10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Business Centre Club</w:t>
      </w:r>
      <w:r>
        <w:rPr>
          <w:rFonts w:ascii="Arial" w:eastAsia="Times New Roman" w:hAnsi="Arial" w:cs="Arial"/>
          <w:sz w:val="18"/>
          <w:szCs w:val="18"/>
        </w:rPr>
        <w:t xml:space="preserve"> istnieje od 1991 roku. Jest prestiżowym Klubem przedsiębiorców i największą w kraju, ustawową organizacją indywidualnych pracodawców. Grupa BCC składa się z Klubu BCC, Związku Pracodawców BCC i Studenckiego Forum BCC. Członkowie BCC zatrudniają ponad 400 tys. pracowników, obroty firm sięgają 20 miliardów złotych. Wśród członków BCC znajdują się największe korporacje krajowe i zagraniczne.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Członkami Klubu są także uczelnie wyższe, wydawnictwa, szpitale, prawnicy, dziennikarze, naukowcy, lekarze, wojskowi i studenci. </w:t>
      </w:r>
      <w:r>
        <w:rPr>
          <w:rFonts w:ascii="Arial" w:eastAsia="Times New Roman" w:hAnsi="Arial" w:cs="Arial"/>
          <w:sz w:val="18"/>
          <w:szCs w:val="18"/>
        </w:rPr>
        <w:t>BCC prowadzi działania w blisko 250 miastach i 23 lożach regionalnych na terenie całej Polski. Koncentruje się na działaniach na rzecz rozwoju gospodarki i pomocy przedsiębiorcom. BCC jest członkiem Rady Dialogu Społecznego. Koordynatorem wszystkich działań BCC jest Marek Goliszewski.</w:t>
      </w:r>
    </w:p>
    <w:p w:rsidR="004F1CF1" w:rsidRDefault="004F1CF1" w:rsidP="004F1CF1">
      <w:pPr>
        <w:tabs>
          <w:tab w:val="left" w:pos="0"/>
          <w:tab w:val="left" w:pos="426"/>
          <w:tab w:val="left" w:pos="8647"/>
          <w:tab w:val="left" w:pos="9072"/>
        </w:tabs>
        <w:spacing w:line="10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Kontakty prasowe: </w:t>
      </w:r>
      <w:hyperlink r:id="rId11" w:history="1">
        <w:r>
          <w:rPr>
            <w:rStyle w:val="Hipercze"/>
            <w:rFonts w:ascii="Arial" w:eastAsia="Times New Roman" w:hAnsi="Arial" w:cs="Arial"/>
            <w:color w:val="146CB4"/>
            <w:sz w:val="18"/>
            <w:szCs w:val="18"/>
          </w:rPr>
          <w:t>http://www.bcc.org.pl/Eksperci.244.0.html</w:t>
        </w:r>
      </w:hyperlink>
    </w:p>
    <w:p w:rsidR="000052F1" w:rsidRDefault="004F1CF1" w:rsidP="004F1CF1">
      <w:pPr>
        <w:tabs>
          <w:tab w:val="left" w:pos="0"/>
          <w:tab w:val="left" w:pos="426"/>
          <w:tab w:val="left" w:pos="8647"/>
          <w:tab w:val="left" w:pos="9072"/>
        </w:tabs>
        <w:spacing w:line="100" w:lineRule="atLeast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Więcej: </w:t>
      </w:r>
      <w:hyperlink r:id="rId12" w:history="1">
        <w:r>
          <w:rPr>
            <w:rStyle w:val="Hipercze"/>
            <w:rFonts w:ascii="Arial" w:eastAsia="Times New Roman" w:hAnsi="Arial" w:cs="Arial"/>
            <w:color w:val="146CB4"/>
            <w:sz w:val="18"/>
            <w:szCs w:val="18"/>
          </w:rPr>
          <w:t>http://www.bcc.org.pl</w:t>
        </w:r>
      </w:hyperlink>
      <w:r>
        <w:rPr>
          <w:rFonts w:ascii="Arial" w:eastAsia="Times New Roman" w:hAnsi="Arial" w:cs="Arial"/>
          <w:sz w:val="18"/>
          <w:szCs w:val="18"/>
        </w:rPr>
        <w:t xml:space="preserve"> oraz: </w:t>
      </w:r>
      <w:hyperlink r:id="rId13" w:history="1">
        <w:r>
          <w:rPr>
            <w:rStyle w:val="Hipercze"/>
            <w:rFonts w:ascii="Arial" w:eastAsia="Times New Roman" w:hAnsi="Arial" w:cs="Arial"/>
            <w:color w:val="146CB4"/>
            <w:sz w:val="18"/>
            <w:szCs w:val="18"/>
          </w:rPr>
          <w:t>http://www.facebook.com/pages/Business-Centre-Club/301754142096</w:t>
        </w:r>
      </w:hyperlink>
    </w:p>
    <w:sectPr w:rsidR="000052F1" w:rsidSect="00D0492A">
      <w:footerReference w:type="default" r:id="rId14"/>
      <w:pgSz w:w="11906" w:h="16838"/>
      <w:pgMar w:top="709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1A" w:rsidRDefault="00A8191A">
      <w:r>
        <w:separator/>
      </w:r>
    </w:p>
  </w:endnote>
  <w:endnote w:type="continuationSeparator" w:id="0">
    <w:p w:rsidR="00A8191A" w:rsidRDefault="00A8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257523"/>
      <w:docPartObj>
        <w:docPartGallery w:val="Page Numbers (Bottom of Page)"/>
        <w:docPartUnique/>
      </w:docPartObj>
    </w:sdtPr>
    <w:sdtEndPr/>
    <w:sdtContent>
      <w:p w:rsidR="00E37740" w:rsidRDefault="004F1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1A">
          <w:rPr>
            <w:noProof/>
          </w:rPr>
          <w:t>1</w:t>
        </w:r>
        <w:r>
          <w:fldChar w:fldCharType="end"/>
        </w:r>
      </w:p>
    </w:sdtContent>
  </w:sdt>
  <w:p w:rsidR="00E37740" w:rsidRDefault="00A819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1A" w:rsidRDefault="00A8191A">
      <w:r>
        <w:separator/>
      </w:r>
    </w:p>
  </w:footnote>
  <w:footnote w:type="continuationSeparator" w:id="0">
    <w:p w:rsidR="00A8191A" w:rsidRDefault="00A8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13F"/>
    <w:multiLevelType w:val="hybridMultilevel"/>
    <w:tmpl w:val="CE70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78FE"/>
    <w:multiLevelType w:val="hybridMultilevel"/>
    <w:tmpl w:val="EAB244B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B0C1E"/>
    <w:multiLevelType w:val="hybridMultilevel"/>
    <w:tmpl w:val="F612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51B4"/>
    <w:multiLevelType w:val="hybridMultilevel"/>
    <w:tmpl w:val="5ABE7C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1"/>
    <w:rsid w:val="000052F1"/>
    <w:rsid w:val="00033E4A"/>
    <w:rsid w:val="00054462"/>
    <w:rsid w:val="000952CC"/>
    <w:rsid w:val="001A0228"/>
    <w:rsid w:val="002C2384"/>
    <w:rsid w:val="002C54A2"/>
    <w:rsid w:val="00366918"/>
    <w:rsid w:val="00394E7B"/>
    <w:rsid w:val="004F1CF1"/>
    <w:rsid w:val="00635FA7"/>
    <w:rsid w:val="007E643D"/>
    <w:rsid w:val="007F3797"/>
    <w:rsid w:val="009902C3"/>
    <w:rsid w:val="00A8191A"/>
    <w:rsid w:val="00B964B9"/>
    <w:rsid w:val="00BD3673"/>
    <w:rsid w:val="00D0492A"/>
    <w:rsid w:val="00DD6D4D"/>
    <w:rsid w:val="00DF2D53"/>
    <w:rsid w:val="00E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73143-E70C-4B8C-97DD-055B412E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CF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F1CF1"/>
    <w:pPr>
      <w:ind w:left="720"/>
      <w:contextualSpacing/>
    </w:pPr>
    <w:rPr>
      <w:szCs w:val="21"/>
    </w:rPr>
  </w:style>
  <w:style w:type="paragraph" w:customStyle="1" w:styleId="Zwykytekst1">
    <w:name w:val="Zwykły tekst1"/>
    <w:basedOn w:val="Normalny"/>
    <w:rsid w:val="004F1CF1"/>
    <w:pPr>
      <w:widowControl/>
      <w:spacing w:line="100" w:lineRule="atLeast"/>
    </w:pPr>
    <w:rPr>
      <w:rFonts w:ascii="Cambria" w:eastAsia="Arial Unicode MS" w:hAnsi="Cambria" w:cs="Times New Roman"/>
      <w:kern w:val="0"/>
      <w:sz w:val="21"/>
      <w:szCs w:val="21"/>
      <w:lang w:val="en-US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4F1CF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1CF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CF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F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Pogrubienie">
    <w:name w:val="Strong"/>
    <w:qFormat/>
    <w:rsid w:val="00D0492A"/>
    <w:rPr>
      <w:b/>
      <w:bCs/>
    </w:rPr>
  </w:style>
  <w:style w:type="character" w:customStyle="1" w:styleId="AkapitzlistZnak">
    <w:name w:val="Akapit z listą Znak"/>
    <w:link w:val="Akapitzlist"/>
    <w:uiPriority w:val="34"/>
    <w:rsid w:val="00E305F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org.pl" TargetMode="External"/><Relationship Id="rId13" Type="http://schemas.openxmlformats.org/officeDocument/2006/relationships/hyperlink" Target="http://www.facebook.com/pages/Business-Centre-Club/3017541420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cc.org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c.org.pl/Eksperci.244.0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tytut@bc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z.bernatowicz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Anna Potocka</cp:lastModifiedBy>
  <cp:revision>3</cp:revision>
  <dcterms:created xsi:type="dcterms:W3CDTF">2018-08-23T14:48:00Z</dcterms:created>
  <dcterms:modified xsi:type="dcterms:W3CDTF">2018-08-23T15:01:00Z</dcterms:modified>
</cp:coreProperties>
</file>