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21" w:rsidRPr="00C928C8" w:rsidRDefault="00583D21" w:rsidP="00583D21">
      <w:pPr>
        <w:spacing w:line="276" w:lineRule="auto"/>
        <w:jc w:val="center"/>
        <w:rPr>
          <w:rFonts w:asciiTheme="minorHAnsi" w:hAnsiTheme="minorHAnsi" w:cstheme="minorBidi"/>
          <w:noProof/>
        </w:rPr>
      </w:pPr>
      <w:bookmarkStart w:id="0" w:name="_GoBack"/>
      <w:bookmarkEnd w:id="0"/>
      <w:r w:rsidRPr="00C928C8">
        <w:rPr>
          <w:rFonts w:asciiTheme="minorHAnsi" w:hAnsiTheme="minorHAnsi" w:cstheme="minorBidi"/>
          <w:noProof/>
          <w:lang w:eastAsia="pl-PL"/>
        </w:rPr>
        <w:drawing>
          <wp:inline distT="0" distB="0" distL="0" distR="0" wp14:anchorId="2B7C31FF" wp14:editId="5696DCE0">
            <wp:extent cx="933856" cy="933856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zel z ornamente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44" cy="95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D21" w:rsidRPr="00C928C8" w:rsidRDefault="00583D21" w:rsidP="00583D21">
      <w:pPr>
        <w:spacing w:after="200" w:line="276" w:lineRule="auto"/>
        <w:jc w:val="center"/>
        <w:rPr>
          <w:rFonts w:asciiTheme="minorHAnsi" w:hAnsiTheme="minorHAnsi" w:cstheme="minorBidi"/>
        </w:rPr>
      </w:pPr>
      <w:r w:rsidRPr="00C928C8">
        <w:rPr>
          <w:rFonts w:asciiTheme="minorHAnsi" w:hAnsiTheme="minorHAnsi" w:cstheme="minorBidi"/>
          <w:noProof/>
          <w:lang w:eastAsia="pl-PL"/>
        </w:rPr>
        <w:drawing>
          <wp:inline distT="0" distB="0" distL="0" distR="0" wp14:anchorId="619E3489" wp14:editId="0D525D70">
            <wp:extent cx="2500008" cy="698305"/>
            <wp:effectExtent l="0" t="0" r="0" b="698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BCC bez kwadrat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63" cy="71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D21" w:rsidRPr="00C928C8" w:rsidRDefault="00583D21" w:rsidP="00583D21">
      <w:pPr>
        <w:tabs>
          <w:tab w:val="left" w:pos="0"/>
          <w:tab w:val="left" w:pos="8647"/>
          <w:tab w:val="left" w:pos="9072"/>
        </w:tabs>
        <w:spacing w:after="120" w:line="360" w:lineRule="auto"/>
        <w:jc w:val="right"/>
        <w:rPr>
          <w:rFonts w:ascii="Arial" w:eastAsia="Times New Roman" w:hAnsi="Arial" w:cs="Arial"/>
          <w:b/>
          <w:bCs/>
          <w:smallCaps/>
          <w:color w:val="003366"/>
          <w:sz w:val="18"/>
          <w:szCs w:val="20"/>
        </w:rPr>
      </w:pPr>
      <w:r w:rsidRPr="00C928C8">
        <w:rPr>
          <w:rFonts w:ascii="Arial" w:eastAsia="Times New Roman" w:hAnsi="Arial" w:cs="Arial"/>
          <w:sz w:val="18"/>
          <w:szCs w:val="20"/>
        </w:rPr>
        <w:t xml:space="preserve">Warszawa, </w:t>
      </w:r>
      <w:r>
        <w:rPr>
          <w:rFonts w:ascii="Arial" w:eastAsia="Times New Roman" w:hAnsi="Arial" w:cs="Arial"/>
          <w:sz w:val="18"/>
          <w:szCs w:val="20"/>
        </w:rPr>
        <w:t>13 lutego 2020</w:t>
      </w:r>
      <w:r w:rsidRPr="00C928C8">
        <w:rPr>
          <w:rFonts w:ascii="Arial" w:eastAsia="Times New Roman" w:hAnsi="Arial" w:cs="Arial"/>
          <w:sz w:val="18"/>
          <w:szCs w:val="20"/>
        </w:rPr>
        <w:t xml:space="preserve"> r.</w:t>
      </w:r>
    </w:p>
    <w:p w:rsidR="00583D21" w:rsidRPr="00C928C8" w:rsidRDefault="0022259D" w:rsidP="0022259D">
      <w:pPr>
        <w:pBdr>
          <w:top w:val="single" w:sz="2" w:space="1" w:color="C00000"/>
          <w:left w:val="single" w:sz="2" w:space="4" w:color="C00000"/>
          <w:bottom w:val="single" w:sz="2" w:space="1" w:color="C00000"/>
          <w:right w:val="single" w:sz="2" w:space="4" w:color="C00000"/>
        </w:pBdr>
        <w:tabs>
          <w:tab w:val="left" w:pos="0"/>
          <w:tab w:val="left" w:pos="8647"/>
          <w:tab w:val="left" w:pos="9072"/>
        </w:tabs>
        <w:spacing w:after="200" w:line="100" w:lineRule="atLeast"/>
        <w:jc w:val="center"/>
        <w:rPr>
          <w:rFonts w:ascii="Arial" w:eastAsia="Calibri" w:hAnsi="Arial" w:cs="Arial"/>
          <w:b/>
          <w:bCs/>
          <w:color w:val="808080" w:themeColor="background1" w:themeShade="80"/>
        </w:rPr>
      </w:pPr>
      <w:r>
        <w:rPr>
          <w:rFonts w:asciiTheme="minorHAnsi" w:eastAsia="Times New Roman" w:hAnsiTheme="minorHAnsi" w:cs="Times New Roman"/>
          <w:b/>
          <w:bCs/>
          <w:smallCaps/>
          <w:color w:val="808080" w:themeColor="background1" w:themeShade="80"/>
          <w:sz w:val="48"/>
          <w:szCs w:val="48"/>
        </w:rPr>
        <w:t>Alert Podatkowy</w:t>
      </w:r>
    </w:p>
    <w:p w:rsidR="00583D21" w:rsidRPr="00442AE5" w:rsidRDefault="00583D21" w:rsidP="00583D21">
      <w:pPr>
        <w:spacing w:line="312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583D21" w:rsidRDefault="00583D21" w:rsidP="00583D21">
      <w:pPr>
        <w:spacing w:line="312" w:lineRule="auto"/>
        <w:contextualSpacing/>
        <w:jc w:val="center"/>
        <w:rPr>
          <w:rFonts w:ascii="Arial" w:hAnsi="Arial" w:cs="Arial"/>
          <w:b/>
          <w:szCs w:val="18"/>
        </w:rPr>
      </w:pPr>
      <w:r w:rsidRPr="00583D21">
        <w:rPr>
          <w:rFonts w:ascii="Arial" w:hAnsi="Arial" w:cs="Arial"/>
          <w:b/>
          <w:szCs w:val="18"/>
        </w:rPr>
        <w:t>Ważny wyrok NSA</w:t>
      </w:r>
      <w:r>
        <w:rPr>
          <w:rFonts w:ascii="Arial" w:hAnsi="Arial" w:cs="Arial"/>
          <w:b/>
          <w:szCs w:val="18"/>
        </w:rPr>
        <w:t xml:space="preserve"> </w:t>
      </w:r>
      <w:r w:rsidRPr="00583D21">
        <w:rPr>
          <w:rFonts w:ascii="Arial" w:hAnsi="Arial" w:cs="Arial"/>
          <w:b/>
          <w:szCs w:val="18"/>
        </w:rPr>
        <w:t>dla limitu kosztów</w:t>
      </w:r>
      <w:r>
        <w:rPr>
          <w:rFonts w:ascii="Arial" w:hAnsi="Arial" w:cs="Arial"/>
          <w:b/>
          <w:szCs w:val="18"/>
        </w:rPr>
        <w:t xml:space="preserve"> </w:t>
      </w:r>
      <w:r w:rsidRPr="00583D21">
        <w:rPr>
          <w:rFonts w:ascii="Arial" w:hAnsi="Arial" w:cs="Arial"/>
          <w:b/>
          <w:szCs w:val="18"/>
        </w:rPr>
        <w:t>usług niematerialnych</w:t>
      </w:r>
    </w:p>
    <w:p w:rsidR="00583D21" w:rsidRDefault="00583D21" w:rsidP="00583D21">
      <w:pPr>
        <w:spacing w:line="312" w:lineRule="auto"/>
        <w:contextualSpacing/>
        <w:jc w:val="center"/>
        <w:rPr>
          <w:rFonts w:ascii="Arial" w:hAnsi="Arial" w:cs="Arial"/>
          <w:b/>
          <w:szCs w:val="18"/>
        </w:rPr>
      </w:pPr>
    </w:p>
    <w:p w:rsidR="00583D21" w:rsidRPr="00583D21" w:rsidRDefault="00583D21" w:rsidP="00442AE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83D21">
        <w:rPr>
          <w:rFonts w:ascii="Arial" w:hAnsi="Arial" w:cs="Arial"/>
          <w:b/>
          <w:sz w:val="18"/>
          <w:szCs w:val="18"/>
        </w:rPr>
        <w:t xml:space="preserve">Pod koniec stycznia, Naczelny Sąd Administracyjny wydał korzystny wyrok dla zasad rozliczania kosztów usług niematerialnych w związku z limitem ich </w:t>
      </w:r>
      <w:proofErr w:type="spellStart"/>
      <w:r w:rsidRPr="00583D21">
        <w:rPr>
          <w:rFonts w:ascii="Arial" w:hAnsi="Arial" w:cs="Arial"/>
          <w:b/>
          <w:sz w:val="18"/>
          <w:szCs w:val="18"/>
        </w:rPr>
        <w:t>odliczalności</w:t>
      </w:r>
      <w:proofErr w:type="spellEnd"/>
      <w:r w:rsidRPr="00583D21">
        <w:rPr>
          <w:rFonts w:ascii="Arial" w:hAnsi="Arial" w:cs="Arial"/>
          <w:b/>
          <w:sz w:val="18"/>
          <w:szCs w:val="18"/>
        </w:rPr>
        <w:t xml:space="preserve"> na gruncie art. 15e ustawy o CIT.</w:t>
      </w:r>
    </w:p>
    <w:p w:rsidR="00583D21" w:rsidRPr="00583D21" w:rsidRDefault="00583D21" w:rsidP="00442AE5">
      <w:pPr>
        <w:pStyle w:val="Akapitzlist"/>
        <w:spacing w:line="360" w:lineRule="auto"/>
        <w:jc w:val="both"/>
        <w:rPr>
          <w:rFonts w:ascii="Arial" w:hAnsi="Arial" w:cs="Arial"/>
          <w:b/>
          <w:sz w:val="12"/>
          <w:szCs w:val="18"/>
        </w:rPr>
      </w:pPr>
    </w:p>
    <w:p w:rsidR="00583D21" w:rsidRPr="00583D21" w:rsidRDefault="00583D21" w:rsidP="00442A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83D21">
        <w:rPr>
          <w:rFonts w:ascii="Arial" w:hAnsi="Arial" w:cs="Arial"/>
          <w:sz w:val="18"/>
          <w:szCs w:val="18"/>
        </w:rPr>
        <w:t>W sprawie spółki pełniącej funkcję centrum usług wspólnych, sąd wskazał, iż przesłanka „kosztu bezpośrednio związanego z wytworzeniem lub nabyciem towaru” powinna być interpretowana szeroko i w szczególności nie oznacza, iż o wyłączeniu z limitu kosztów decyduje możliwość przypisania konkretnego wydatku z tytułu nabywanych usług do ceny sprzedawanych przez polskich podatników usług lub towarów. Przesłanka ta powinna być również interpretowana w oderwaniu od pojęcia „kosztu bezpośrednio związanego z przychodem”.</w:t>
      </w:r>
    </w:p>
    <w:p w:rsidR="00583D21" w:rsidRDefault="00583D21" w:rsidP="00442AE5">
      <w:pPr>
        <w:spacing w:line="360" w:lineRule="auto"/>
        <w:contextualSpacing/>
        <w:jc w:val="center"/>
        <w:rPr>
          <w:rFonts w:ascii="Arial" w:hAnsi="Arial" w:cs="Arial"/>
          <w:b/>
          <w:szCs w:val="18"/>
        </w:rPr>
      </w:pPr>
    </w:p>
    <w:p w:rsidR="00583D21" w:rsidRPr="00583D21" w:rsidRDefault="00583D21" w:rsidP="00442AE5">
      <w:pPr>
        <w:spacing w:line="360" w:lineRule="auto"/>
        <w:rPr>
          <w:rFonts w:ascii="Arial" w:hAnsi="Arial" w:cs="Arial"/>
          <w:b/>
          <w:sz w:val="18"/>
        </w:rPr>
      </w:pPr>
      <w:r w:rsidRPr="00583D21">
        <w:rPr>
          <w:rFonts w:ascii="Arial" w:hAnsi="Arial" w:cs="Arial"/>
          <w:b/>
          <w:sz w:val="18"/>
        </w:rPr>
        <w:t>Jakie skutki może mieć wyrok?</w:t>
      </w:r>
    </w:p>
    <w:p w:rsidR="00583D21" w:rsidRDefault="00583D21" w:rsidP="00442AE5">
      <w:pPr>
        <w:spacing w:line="360" w:lineRule="auto"/>
        <w:rPr>
          <w:rFonts w:ascii="Arial" w:hAnsi="Arial" w:cs="Arial"/>
          <w:sz w:val="18"/>
        </w:rPr>
      </w:pPr>
    </w:p>
    <w:p w:rsidR="00583D21" w:rsidRDefault="00583D21" w:rsidP="00442AE5">
      <w:pPr>
        <w:spacing w:line="360" w:lineRule="auto"/>
        <w:jc w:val="both"/>
        <w:rPr>
          <w:rFonts w:ascii="Arial" w:hAnsi="Arial" w:cs="Arial"/>
          <w:sz w:val="18"/>
        </w:rPr>
      </w:pPr>
      <w:r w:rsidRPr="00583D21">
        <w:rPr>
          <w:rFonts w:ascii="Arial" w:hAnsi="Arial" w:cs="Arial"/>
          <w:sz w:val="18"/>
        </w:rPr>
        <w:t xml:space="preserve">Ustalenie, iż dany koszt jest bezpośrednio związany z wytworzeniem lub nabyciem towaru </w:t>
      </w:r>
      <w:r>
        <w:rPr>
          <w:rFonts w:ascii="Arial" w:hAnsi="Arial" w:cs="Arial"/>
          <w:sz w:val="18"/>
        </w:rPr>
        <w:t xml:space="preserve">albo </w:t>
      </w:r>
      <w:r w:rsidRPr="00583D21">
        <w:rPr>
          <w:rFonts w:ascii="Arial" w:hAnsi="Arial" w:cs="Arial"/>
          <w:sz w:val="18"/>
        </w:rPr>
        <w:t xml:space="preserve">świadczeniem usługi, powoduje, iż limitu </w:t>
      </w:r>
      <w:proofErr w:type="spellStart"/>
      <w:r w:rsidRPr="00583D21">
        <w:rPr>
          <w:rFonts w:ascii="Arial" w:hAnsi="Arial" w:cs="Arial"/>
          <w:sz w:val="18"/>
        </w:rPr>
        <w:t>odliczalności</w:t>
      </w:r>
      <w:proofErr w:type="spellEnd"/>
      <w:r w:rsidRPr="00583D21">
        <w:rPr>
          <w:rFonts w:ascii="Arial" w:hAnsi="Arial" w:cs="Arial"/>
          <w:sz w:val="18"/>
        </w:rPr>
        <w:t xml:space="preserve"> zawartego w art. 15e ustawy o CIT nie</w:t>
      </w:r>
      <w:r>
        <w:rPr>
          <w:rFonts w:ascii="Arial" w:hAnsi="Arial" w:cs="Arial"/>
          <w:sz w:val="18"/>
        </w:rPr>
        <w:t xml:space="preserve"> </w:t>
      </w:r>
      <w:r w:rsidRPr="00583D21">
        <w:rPr>
          <w:rFonts w:ascii="Arial" w:hAnsi="Arial" w:cs="Arial"/>
          <w:sz w:val="18"/>
        </w:rPr>
        <w:t xml:space="preserve">stosuje się. Mimo iż wyrok NSA zapadł w indywidualnej sprawie podatnika, </w:t>
      </w:r>
      <w:r>
        <w:rPr>
          <w:rFonts w:ascii="Arial" w:hAnsi="Arial" w:cs="Arial"/>
          <w:sz w:val="18"/>
        </w:rPr>
        <w:t>istnieje</w:t>
      </w:r>
      <w:r w:rsidRPr="00583D21">
        <w:rPr>
          <w:rFonts w:ascii="Arial" w:hAnsi="Arial" w:cs="Arial"/>
          <w:sz w:val="18"/>
        </w:rPr>
        <w:t xml:space="preserve"> możliwość</w:t>
      </w:r>
      <w:r>
        <w:rPr>
          <w:rFonts w:ascii="Arial" w:hAnsi="Arial" w:cs="Arial"/>
          <w:sz w:val="18"/>
        </w:rPr>
        <w:t xml:space="preserve"> </w:t>
      </w:r>
      <w:r w:rsidRPr="00583D21">
        <w:rPr>
          <w:rFonts w:ascii="Arial" w:hAnsi="Arial" w:cs="Arial"/>
          <w:sz w:val="18"/>
        </w:rPr>
        <w:t>podjęcia kierunkowych działań (takich jak np. wystąpienie z wnioskiem o nadpłatę za lata 2018-2019), w szczególności w zbliżonych stanach faktycznych</w:t>
      </w:r>
      <w:r>
        <w:rPr>
          <w:rFonts w:ascii="Arial" w:hAnsi="Arial" w:cs="Arial"/>
          <w:sz w:val="18"/>
        </w:rPr>
        <w:t xml:space="preserve">. </w:t>
      </w:r>
    </w:p>
    <w:p w:rsidR="00583D21" w:rsidRDefault="00583D21" w:rsidP="00442AE5">
      <w:pPr>
        <w:spacing w:line="360" w:lineRule="auto"/>
        <w:jc w:val="both"/>
        <w:rPr>
          <w:rFonts w:ascii="Arial" w:hAnsi="Arial" w:cs="Arial"/>
          <w:sz w:val="18"/>
        </w:rPr>
      </w:pPr>
    </w:p>
    <w:p w:rsidR="00583D21" w:rsidRPr="00583D21" w:rsidRDefault="00583D21" w:rsidP="00442AE5">
      <w:pPr>
        <w:spacing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</w:t>
      </w:r>
      <w:r w:rsidRPr="00583D21">
        <w:rPr>
          <w:rFonts w:ascii="Arial" w:hAnsi="Arial" w:cs="Arial"/>
          <w:sz w:val="18"/>
        </w:rPr>
        <w:t>yrok będzie miał</w:t>
      </w:r>
      <w:r>
        <w:rPr>
          <w:rFonts w:ascii="Arial" w:hAnsi="Arial" w:cs="Arial"/>
          <w:sz w:val="18"/>
        </w:rPr>
        <w:t xml:space="preserve"> jednak </w:t>
      </w:r>
      <w:r w:rsidRPr="00583D21">
        <w:rPr>
          <w:rFonts w:ascii="Arial" w:hAnsi="Arial" w:cs="Arial"/>
          <w:sz w:val="18"/>
        </w:rPr>
        <w:t xml:space="preserve">zdecydowanie szersze zastosowanie, także w sytuacji, gdy </w:t>
      </w:r>
      <w:r>
        <w:rPr>
          <w:rFonts w:ascii="Arial" w:hAnsi="Arial" w:cs="Arial"/>
          <w:sz w:val="18"/>
        </w:rPr>
        <w:t xml:space="preserve">przedsiębiorstwo wystąpiło już </w:t>
      </w:r>
      <w:r w:rsidRPr="00583D21">
        <w:rPr>
          <w:rFonts w:ascii="Arial" w:hAnsi="Arial" w:cs="Arial"/>
          <w:sz w:val="18"/>
        </w:rPr>
        <w:t xml:space="preserve"> o zawarcie</w:t>
      </w:r>
      <w:r>
        <w:rPr>
          <w:rFonts w:ascii="Arial" w:hAnsi="Arial" w:cs="Arial"/>
          <w:sz w:val="18"/>
        </w:rPr>
        <w:t xml:space="preserve"> uprzedniego porozumienia cenowego (</w:t>
      </w:r>
      <w:r w:rsidRPr="00583D21">
        <w:rPr>
          <w:rFonts w:ascii="Arial" w:hAnsi="Arial" w:cs="Arial"/>
          <w:sz w:val="18"/>
        </w:rPr>
        <w:t>APA</w:t>
      </w:r>
      <w:r>
        <w:rPr>
          <w:rFonts w:ascii="Arial" w:hAnsi="Arial" w:cs="Arial"/>
          <w:sz w:val="18"/>
        </w:rPr>
        <w:t xml:space="preserve">). Istotna przy tym jest </w:t>
      </w:r>
      <w:r w:rsidRPr="00583D21">
        <w:rPr>
          <w:rFonts w:ascii="Arial" w:hAnsi="Arial" w:cs="Arial"/>
          <w:sz w:val="18"/>
        </w:rPr>
        <w:t>argumentacj</w:t>
      </w:r>
      <w:r>
        <w:rPr>
          <w:rFonts w:ascii="Arial" w:hAnsi="Arial" w:cs="Arial"/>
          <w:sz w:val="18"/>
        </w:rPr>
        <w:t>a</w:t>
      </w:r>
      <w:r w:rsidRPr="00583D21">
        <w:rPr>
          <w:rFonts w:ascii="Arial" w:hAnsi="Arial" w:cs="Arial"/>
          <w:sz w:val="18"/>
        </w:rPr>
        <w:t xml:space="preserve">, która </w:t>
      </w:r>
      <w:r>
        <w:rPr>
          <w:rFonts w:ascii="Arial" w:hAnsi="Arial" w:cs="Arial"/>
          <w:sz w:val="18"/>
        </w:rPr>
        <w:t>będzie</w:t>
      </w:r>
      <w:r w:rsidRPr="00583D21">
        <w:rPr>
          <w:rFonts w:ascii="Arial" w:hAnsi="Arial" w:cs="Arial"/>
          <w:sz w:val="18"/>
        </w:rPr>
        <w:t xml:space="preserve"> wzmacniać szanse uzyskania korzystnego rozstrzygnięcia,</w:t>
      </w:r>
      <w:r>
        <w:rPr>
          <w:rFonts w:ascii="Arial" w:hAnsi="Arial" w:cs="Arial"/>
          <w:sz w:val="18"/>
        </w:rPr>
        <w:t xml:space="preserve"> a</w:t>
      </w:r>
      <w:r w:rsidRPr="00583D21">
        <w:rPr>
          <w:rFonts w:ascii="Arial" w:hAnsi="Arial" w:cs="Arial"/>
          <w:sz w:val="18"/>
        </w:rPr>
        <w:t xml:space="preserve"> która nie była dotychczas</w:t>
      </w:r>
      <w:r>
        <w:rPr>
          <w:rFonts w:ascii="Arial" w:hAnsi="Arial" w:cs="Arial"/>
          <w:sz w:val="18"/>
        </w:rPr>
        <w:t xml:space="preserve"> </w:t>
      </w:r>
      <w:r w:rsidRPr="00583D21">
        <w:rPr>
          <w:rFonts w:ascii="Arial" w:hAnsi="Arial" w:cs="Arial"/>
          <w:sz w:val="18"/>
        </w:rPr>
        <w:t>podnoszona w tego typu sprawach.</w:t>
      </w:r>
    </w:p>
    <w:p w:rsidR="00583D21" w:rsidRPr="00006E31" w:rsidRDefault="00583D21" w:rsidP="00583D21">
      <w:pPr>
        <w:spacing w:line="312" w:lineRule="auto"/>
        <w:rPr>
          <w:rFonts w:ascii="Arial" w:hAnsi="Arial" w:cs="Arial"/>
          <w:sz w:val="18"/>
        </w:rPr>
      </w:pPr>
    </w:p>
    <w:p w:rsidR="00583D21" w:rsidRDefault="00583D21" w:rsidP="00583D21">
      <w:pPr>
        <w:widowControl w:val="0"/>
        <w:spacing w:line="312" w:lineRule="auto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3E7556">
        <w:rPr>
          <w:rFonts w:ascii="Arial" w:hAnsi="Arial" w:cs="Arial"/>
          <w:bCs/>
          <w:sz w:val="18"/>
          <w:szCs w:val="18"/>
          <w:u w:val="single"/>
        </w:rPr>
        <w:t>Kontakt do ekspert</w:t>
      </w:r>
      <w:r>
        <w:rPr>
          <w:rFonts w:ascii="Arial" w:hAnsi="Arial" w:cs="Arial"/>
          <w:bCs/>
          <w:sz w:val="18"/>
          <w:szCs w:val="18"/>
          <w:u w:val="single"/>
        </w:rPr>
        <w:t>ki</w:t>
      </w:r>
      <w:r w:rsidRPr="003E7556">
        <w:rPr>
          <w:rFonts w:ascii="Arial" w:hAnsi="Arial" w:cs="Arial"/>
          <w:bCs/>
          <w:sz w:val="18"/>
          <w:szCs w:val="18"/>
          <w:u w:val="single"/>
        </w:rPr>
        <w:t>:</w:t>
      </w:r>
    </w:p>
    <w:p w:rsidR="00583D21" w:rsidRPr="003E7556" w:rsidRDefault="00583D21" w:rsidP="00583D21">
      <w:pPr>
        <w:widowControl w:val="0"/>
        <w:spacing w:line="312" w:lineRule="auto"/>
        <w:jc w:val="both"/>
        <w:rPr>
          <w:rFonts w:ascii="Arial" w:hAnsi="Arial" w:cs="Arial"/>
          <w:bCs/>
          <w:sz w:val="18"/>
          <w:szCs w:val="18"/>
          <w:u w:val="single"/>
        </w:rPr>
      </w:pPr>
    </w:p>
    <w:p w:rsidR="00583D21" w:rsidRDefault="00583D21" w:rsidP="00583D21">
      <w:pPr>
        <w:spacing w:line="100" w:lineRule="atLeast"/>
        <w:jc w:val="both"/>
        <w:rPr>
          <w:rFonts w:ascii="Arial" w:eastAsia="Arial Unicode MS" w:hAnsi="Arial" w:cs="Arial"/>
          <w:b/>
          <w:sz w:val="18"/>
          <w:szCs w:val="18"/>
          <w:lang w:eastAsia="pl-PL"/>
        </w:rPr>
      </w:pPr>
      <w:r w:rsidRPr="00583D21">
        <w:rPr>
          <w:rFonts w:ascii="Arial" w:eastAsia="Arial Unicode MS" w:hAnsi="Arial" w:cs="Arial"/>
          <w:b/>
          <w:sz w:val="18"/>
          <w:szCs w:val="18"/>
          <w:lang w:eastAsia="pl-PL"/>
        </w:rPr>
        <w:t xml:space="preserve">Anna </w:t>
      </w:r>
      <w:proofErr w:type="spellStart"/>
      <w:r w:rsidRPr="00583D21">
        <w:rPr>
          <w:rFonts w:ascii="Arial" w:eastAsia="Arial Unicode MS" w:hAnsi="Arial" w:cs="Arial"/>
          <w:b/>
          <w:sz w:val="18"/>
          <w:szCs w:val="18"/>
          <w:lang w:eastAsia="pl-PL"/>
        </w:rPr>
        <w:t>Pęczyk-Tofel</w:t>
      </w:r>
      <w:proofErr w:type="spellEnd"/>
    </w:p>
    <w:p w:rsidR="00583D21" w:rsidRPr="00583D21" w:rsidRDefault="00583D21" w:rsidP="00583D21">
      <w:pPr>
        <w:spacing w:line="100" w:lineRule="atLeast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>
        <w:rPr>
          <w:rFonts w:ascii="Arial" w:eastAsia="Arial Unicode MS" w:hAnsi="Arial" w:cs="Arial"/>
          <w:sz w:val="18"/>
          <w:szCs w:val="18"/>
          <w:lang w:eastAsia="pl-PL"/>
        </w:rPr>
        <w:t xml:space="preserve">ekspertka ds. podatków, partner w </w:t>
      </w:r>
      <w:proofErr w:type="spellStart"/>
      <w:r>
        <w:rPr>
          <w:rFonts w:ascii="Arial" w:eastAsia="Arial Unicode MS" w:hAnsi="Arial" w:cs="Arial"/>
          <w:sz w:val="18"/>
          <w:szCs w:val="18"/>
          <w:lang w:eastAsia="pl-PL"/>
        </w:rPr>
        <w:t>Crido</w:t>
      </w:r>
      <w:proofErr w:type="spellEnd"/>
    </w:p>
    <w:p w:rsidR="00583D21" w:rsidRPr="00583D21" w:rsidRDefault="00583D21" w:rsidP="00583D21">
      <w:pPr>
        <w:spacing w:line="100" w:lineRule="atLeast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583D21">
        <w:rPr>
          <w:rFonts w:ascii="Arial" w:eastAsia="Arial Unicode MS" w:hAnsi="Arial" w:cs="Arial"/>
          <w:sz w:val="18"/>
          <w:szCs w:val="18"/>
          <w:lang w:eastAsia="pl-PL"/>
        </w:rPr>
        <w:t>tel.: +48 22 324 59 36</w:t>
      </w:r>
    </w:p>
    <w:p w:rsidR="00583D21" w:rsidRDefault="00583D21" w:rsidP="00583D21">
      <w:pPr>
        <w:spacing w:line="100" w:lineRule="atLeast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583D21">
        <w:rPr>
          <w:rFonts w:ascii="Arial" w:eastAsia="Arial Unicode MS" w:hAnsi="Arial" w:cs="Arial"/>
          <w:sz w:val="18"/>
          <w:szCs w:val="18"/>
          <w:lang w:eastAsia="pl-PL"/>
        </w:rPr>
        <w:t xml:space="preserve">e-mail: </w:t>
      </w:r>
      <w:hyperlink r:id="rId10" w:history="1">
        <w:r w:rsidRPr="008D086F">
          <w:rPr>
            <w:rStyle w:val="Hipercze"/>
            <w:rFonts w:ascii="Arial" w:eastAsia="Arial Unicode MS" w:hAnsi="Arial" w:cs="Arial"/>
            <w:sz w:val="18"/>
            <w:szCs w:val="18"/>
            <w:lang w:eastAsia="pl-PL"/>
          </w:rPr>
          <w:t>anna.peczyk-tofel@crido.pl</w:t>
        </w:r>
      </w:hyperlink>
    </w:p>
    <w:p w:rsidR="00442AE5" w:rsidRDefault="00442AE5" w:rsidP="00583D21">
      <w:pPr>
        <w:spacing w:line="100" w:lineRule="atLeast"/>
        <w:jc w:val="both"/>
        <w:rPr>
          <w:rFonts w:ascii="Arial" w:hAnsi="Arial" w:cs="Arial"/>
          <w:sz w:val="18"/>
          <w:szCs w:val="18"/>
          <w:u w:val="single"/>
        </w:rPr>
      </w:pPr>
    </w:p>
    <w:p w:rsidR="00583D21" w:rsidRDefault="00583D21" w:rsidP="00583D21">
      <w:pPr>
        <w:jc w:val="center"/>
        <w:rPr>
          <w:lang w:val="en-GB"/>
        </w:rPr>
      </w:pPr>
    </w:p>
    <w:p w:rsidR="00583D21" w:rsidRPr="009D3AD6" w:rsidRDefault="00583D21" w:rsidP="00583D21">
      <w:pPr>
        <w:pBdr>
          <w:top w:val="single" w:sz="2" w:space="6" w:color="C00000"/>
        </w:pBdr>
        <w:jc w:val="both"/>
        <w:rPr>
          <w:rFonts w:eastAsia="Calibri"/>
          <w:color w:val="808080" w:themeColor="background1" w:themeShade="80"/>
          <w:sz w:val="12"/>
          <w:szCs w:val="16"/>
        </w:rPr>
      </w:pPr>
      <w:r w:rsidRPr="009D3AD6">
        <w:rPr>
          <w:rFonts w:eastAsia="Calibri"/>
          <w:b/>
          <w:color w:val="808080" w:themeColor="background1" w:themeShade="80"/>
          <w:sz w:val="12"/>
          <w:szCs w:val="16"/>
        </w:rPr>
        <w:t>Business Centre Club</w:t>
      </w:r>
      <w:r w:rsidRPr="009D3AD6">
        <w:rPr>
          <w:rFonts w:eastAsia="Calibri"/>
          <w:color w:val="808080" w:themeColor="background1" w:themeShade="80"/>
          <w:sz w:val="12"/>
          <w:szCs w:val="16"/>
        </w:rPr>
        <w:t xml:space="preserve"> powstał pod koniec XX w., w 1991 roku. Jest prestiżowym Klubem przedsiębiorców i największą w kraju ustawową organizacją indywidualnych pracodawców. Grupa BCC składa się z Klubu BCC, Związku Pracodawców BCC i Studenckiego Forum BCC. Członkowie BCC zatrudniają ponad 400 tys. pracowników, obroty firm sięgają 20 miliardów złotych a siedziby rozlokowane są w blisko 250 miastach. Na terenie całej Polski działają 22 loże regionalne. Do BCC należą przedstawiciele wszystkich branż, międzynarodowe korporacje, instytucje finansowe i ubezpieczeniowe, firmy telekomunikacyjne, najwięksi polscy producenci, uczelnie wyższe, koncerny wydawnicze i znane kancelarie prawne. Członkami Klubu są także prawnicy, dziennikarze, naukowcy, wydawcy, lekarze, wojskowi i studenci. BCC koncentruje się na działaniach na rzecz rozwoju gospodarki i pomocy przedsiębiorcom, jest ustawowym członkiem Rady Dialogu Społecznego. Koordynatorem wszystkich działań BCC jest Marek Goliszewski.</w:t>
      </w:r>
    </w:p>
    <w:p w:rsidR="00620832" w:rsidRDefault="00583D21" w:rsidP="00583D21">
      <w:pPr>
        <w:jc w:val="both"/>
      </w:pPr>
      <w:r w:rsidRPr="009D3AD6">
        <w:rPr>
          <w:rFonts w:eastAsia="Calibri"/>
          <w:color w:val="808080" w:themeColor="background1" w:themeShade="80"/>
          <w:sz w:val="12"/>
          <w:szCs w:val="16"/>
        </w:rPr>
        <w:t xml:space="preserve">Kontakty prasowe: </w:t>
      </w:r>
      <w:hyperlink r:id="rId11" w:history="1">
        <w:r w:rsidRPr="009D3AD6">
          <w:rPr>
            <w:rFonts w:eastAsia="Calibri"/>
            <w:color w:val="808080" w:themeColor="background1" w:themeShade="80"/>
            <w:sz w:val="12"/>
            <w:szCs w:val="16"/>
          </w:rPr>
          <w:t>https://www.bcc.org.pl/strefa_eksperta/kontakty-do-ekspertow</w:t>
        </w:r>
      </w:hyperlink>
      <w:r w:rsidRPr="009D3AD6">
        <w:rPr>
          <w:rFonts w:eastAsia="Calibri"/>
          <w:color w:val="808080" w:themeColor="background1" w:themeShade="80"/>
          <w:sz w:val="12"/>
          <w:szCs w:val="16"/>
        </w:rPr>
        <w:t xml:space="preserve">, więcej: </w:t>
      </w:r>
      <w:hyperlink r:id="rId12" w:history="1">
        <w:r w:rsidRPr="009D3AD6">
          <w:rPr>
            <w:rFonts w:eastAsia="Calibri"/>
            <w:color w:val="808080" w:themeColor="background1" w:themeShade="80"/>
            <w:sz w:val="12"/>
            <w:szCs w:val="16"/>
          </w:rPr>
          <w:t>https://www.bcc.org.pl/</w:t>
        </w:r>
      </w:hyperlink>
      <w:r w:rsidRPr="009D3AD6">
        <w:rPr>
          <w:rFonts w:eastAsia="Calibri"/>
          <w:color w:val="808080" w:themeColor="background1" w:themeShade="80"/>
          <w:sz w:val="12"/>
          <w:szCs w:val="16"/>
        </w:rPr>
        <w:t xml:space="preserve"> oraz: </w:t>
      </w:r>
      <w:hyperlink r:id="rId13" w:history="1">
        <w:r w:rsidRPr="009D3AD6">
          <w:rPr>
            <w:rFonts w:eastAsia="Calibri"/>
            <w:color w:val="808080" w:themeColor="background1" w:themeShade="80"/>
            <w:sz w:val="12"/>
            <w:szCs w:val="16"/>
          </w:rPr>
          <w:t>https://www.facebook.com/businesscentreclub</w:t>
        </w:r>
      </w:hyperlink>
    </w:p>
    <w:sectPr w:rsidR="00620832" w:rsidSect="00F269CE">
      <w:footerReference w:type="default" r:id="rId14"/>
      <w:pgSz w:w="11906" w:h="16838"/>
      <w:pgMar w:top="1134" w:right="1417" w:bottom="1135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1F" w:rsidRDefault="0042661F">
      <w:r>
        <w:separator/>
      </w:r>
    </w:p>
  </w:endnote>
  <w:endnote w:type="continuationSeparator" w:id="0">
    <w:p w:rsidR="0042661F" w:rsidRDefault="0042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E1F" w:rsidRDefault="0042661F">
    <w:pPr>
      <w:pStyle w:val="Stopka"/>
      <w:jc w:val="right"/>
    </w:pPr>
  </w:p>
  <w:p w:rsidR="000D4E1F" w:rsidRDefault="004266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1F" w:rsidRDefault="0042661F">
      <w:r>
        <w:separator/>
      </w:r>
    </w:p>
  </w:footnote>
  <w:footnote w:type="continuationSeparator" w:id="0">
    <w:p w:rsidR="0042661F" w:rsidRDefault="00426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06068"/>
    <w:multiLevelType w:val="hybridMultilevel"/>
    <w:tmpl w:val="8A64B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30AF1"/>
    <w:multiLevelType w:val="hybridMultilevel"/>
    <w:tmpl w:val="DF2C54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0B393C"/>
    <w:multiLevelType w:val="hybridMultilevel"/>
    <w:tmpl w:val="432EB7DC"/>
    <w:lvl w:ilvl="0" w:tplc="2294E2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270A9"/>
    <w:multiLevelType w:val="hybridMultilevel"/>
    <w:tmpl w:val="B65A0E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C6EAE"/>
    <w:multiLevelType w:val="hybridMultilevel"/>
    <w:tmpl w:val="8EC22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17E8B"/>
    <w:multiLevelType w:val="hybridMultilevel"/>
    <w:tmpl w:val="BEAA0C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21"/>
    <w:rsid w:val="0022259D"/>
    <w:rsid w:val="00340F93"/>
    <w:rsid w:val="0042661F"/>
    <w:rsid w:val="00442AE5"/>
    <w:rsid w:val="00583D21"/>
    <w:rsid w:val="00620832"/>
    <w:rsid w:val="006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D2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583D21"/>
    <w:rPr>
      <w:strike w:val="0"/>
      <w:dstrike w:val="0"/>
      <w:color w:val="146CB4"/>
      <w:u w:val="none"/>
      <w:effect w:val="none"/>
    </w:rPr>
  </w:style>
  <w:style w:type="paragraph" w:styleId="Stopka">
    <w:name w:val="footer"/>
    <w:basedOn w:val="Normalny"/>
    <w:link w:val="StopkaZnak"/>
    <w:uiPriority w:val="99"/>
    <w:unhideWhenUsed/>
    <w:rsid w:val="00583D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3D21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583D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D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D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25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59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D2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583D21"/>
    <w:rPr>
      <w:strike w:val="0"/>
      <w:dstrike w:val="0"/>
      <w:color w:val="146CB4"/>
      <w:u w:val="none"/>
      <w:effect w:val="none"/>
    </w:rPr>
  </w:style>
  <w:style w:type="paragraph" w:styleId="Stopka">
    <w:name w:val="footer"/>
    <w:basedOn w:val="Normalny"/>
    <w:link w:val="StopkaZnak"/>
    <w:uiPriority w:val="99"/>
    <w:unhideWhenUsed/>
    <w:rsid w:val="00583D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3D21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583D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D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D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25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59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businesscentreclu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bcc.org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cc.org.pl/strefa_eksperta/kontakty-do-eksperto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na.peczyk-tofel@crido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Muciński</dc:creator>
  <cp:lastModifiedBy>Emil Muciński</cp:lastModifiedBy>
  <cp:revision>4</cp:revision>
  <cp:lastPrinted>2020-02-13T13:06:00Z</cp:lastPrinted>
  <dcterms:created xsi:type="dcterms:W3CDTF">2020-02-13T12:04:00Z</dcterms:created>
  <dcterms:modified xsi:type="dcterms:W3CDTF">2020-02-13T13:06:00Z</dcterms:modified>
</cp:coreProperties>
</file>