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B0213" w14:textId="3B546303" w:rsidR="00303A70" w:rsidRPr="00D90D70" w:rsidRDefault="006F66F2" w:rsidP="00D90D70">
      <w:pPr>
        <w:jc w:val="center"/>
        <w:rPr>
          <w:b/>
          <w:bCs/>
        </w:rPr>
      </w:pPr>
      <w:r w:rsidRPr="00D90D70">
        <w:rPr>
          <w:b/>
          <w:bCs/>
        </w:rPr>
        <w:t>Zalecenia Grupy HR w sprawie wspierania powrotów do pracy</w:t>
      </w:r>
    </w:p>
    <w:p w14:paraId="2F672DAD" w14:textId="2450198B" w:rsidR="006F66F2" w:rsidRDefault="006F66F2"/>
    <w:p w14:paraId="5C561305" w14:textId="1F84FB6E" w:rsidR="006F66F2" w:rsidRDefault="006F66F2">
      <w:r w:rsidRPr="006F66F2">
        <w:t>Z badania 4Business&amp;People i Business Centre Club z lipca 2020 roku wynika, że</w:t>
      </w:r>
      <w:r>
        <w:t xml:space="preserve"> co czwarty pracownik pracujący z domu nie chce wracać do biura firmy.</w:t>
      </w:r>
    </w:p>
    <w:p w14:paraId="2ED842A4" w14:textId="4BAE719E" w:rsidR="006F66F2" w:rsidRDefault="006F66F2">
      <w:r w:rsidRPr="006F66F2">
        <w:rPr>
          <w:noProof/>
        </w:rPr>
        <w:drawing>
          <wp:inline distT="0" distB="0" distL="0" distR="0" wp14:anchorId="0F6BD18B" wp14:editId="7F45456A">
            <wp:extent cx="5731510" cy="17595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99F40" w14:textId="57161632" w:rsidR="006F66F2" w:rsidRDefault="006F66F2">
      <w:r>
        <w:t xml:space="preserve">Grupa HR loży warszawskiej BCC </w:t>
      </w:r>
      <w:r w:rsidR="00D90D70">
        <w:t xml:space="preserve">27 lipca na spotkaniu dotyczącym psychologicznych trudności związanych z wychodzeniem z izolacji </w:t>
      </w:r>
      <w:r>
        <w:t>sformułowała następujące zalecenia:</w:t>
      </w:r>
    </w:p>
    <w:p w14:paraId="4A3DC1FB" w14:textId="20A16BEE" w:rsidR="00A920DA" w:rsidRDefault="00A920DA" w:rsidP="006F66F2">
      <w:pPr>
        <w:pStyle w:val="Akapitzlist"/>
        <w:numPr>
          <w:ilvl w:val="0"/>
          <w:numId w:val="1"/>
        </w:numPr>
      </w:pPr>
      <w:r>
        <w:t>Wyraźnie sformułować zaproszenie do powrotów do pracy dla wszystkich pracowników.</w:t>
      </w:r>
    </w:p>
    <w:p w14:paraId="2295C71E" w14:textId="306C6A7B" w:rsidR="006F66F2" w:rsidRDefault="006F66F2" w:rsidP="006F66F2">
      <w:pPr>
        <w:pStyle w:val="Akapitzlist"/>
        <w:numPr>
          <w:ilvl w:val="0"/>
          <w:numId w:val="1"/>
        </w:numPr>
      </w:pPr>
      <w:r>
        <w:t>Komunikować działania podjęte w organizacjach w ramach dbałości o zdrowie i bezpieczeństwo oraz korzyści dla pracowników z powrotu do biura.</w:t>
      </w:r>
    </w:p>
    <w:p w14:paraId="01629A10" w14:textId="34D771E1" w:rsidR="006F66F2" w:rsidRDefault="006F66F2" w:rsidP="006F66F2">
      <w:pPr>
        <w:pStyle w:val="Akapitzlist"/>
        <w:numPr>
          <w:ilvl w:val="0"/>
          <w:numId w:val="1"/>
        </w:numPr>
      </w:pPr>
      <w:r>
        <w:t>Należy przypominać menedżerom ich rolę w modelowaniu postaw i włączyć w działania dotyczące budowania pozytywnych doświadczeń w powrotach do biura.</w:t>
      </w:r>
    </w:p>
    <w:p w14:paraId="1355225B" w14:textId="5A4D05F1" w:rsidR="006F66F2" w:rsidRDefault="006F66F2" w:rsidP="006F66F2">
      <w:pPr>
        <w:pStyle w:val="Akapitzlist"/>
        <w:numPr>
          <w:ilvl w:val="0"/>
          <w:numId w:val="1"/>
        </w:numPr>
      </w:pPr>
      <w:r>
        <w:t>Obserwować i badać przyczyny niechęci do powrotów w zespołach, gdzie zjawisko jest nasilone i zaangażować HR w ewentualne rozwiązywanie konfliktów i napięć w zespołach.</w:t>
      </w:r>
    </w:p>
    <w:p w14:paraId="08BF6F3F" w14:textId="77777777" w:rsidR="00A920DA" w:rsidRPr="006F66F2" w:rsidRDefault="00A920DA" w:rsidP="00A920DA">
      <w:pPr>
        <w:pStyle w:val="Akapitzlist"/>
        <w:numPr>
          <w:ilvl w:val="0"/>
          <w:numId w:val="1"/>
        </w:numPr>
      </w:pPr>
      <w:r>
        <w:t>Tworzyć zasady stopniowego powrotu na zasadach równego traktowania i unikać zbyt dużej ilości wyjątków indywidualnych.</w:t>
      </w:r>
    </w:p>
    <w:p w14:paraId="57E9D893" w14:textId="4ED101B1" w:rsidR="00A920DA" w:rsidRDefault="00A920DA" w:rsidP="006F66F2">
      <w:pPr>
        <w:pStyle w:val="Akapitzlist"/>
        <w:numPr>
          <w:ilvl w:val="0"/>
          <w:numId w:val="1"/>
        </w:numPr>
      </w:pPr>
      <w:r>
        <w:t xml:space="preserve">Być w kontakcie z pracownikami, którzy stanowczo odmawiają powrotu, by dogłębnie zrozumieć przyczyny i dopasować wsparcie, również psychologiczne, jeśli będzie to potrzebne. </w:t>
      </w:r>
    </w:p>
    <w:p w14:paraId="31109605" w14:textId="0E93901A" w:rsidR="00A920DA" w:rsidRDefault="00A920DA">
      <w:pPr>
        <w:pStyle w:val="Akapitzlist"/>
        <w:numPr>
          <w:ilvl w:val="0"/>
          <w:numId w:val="1"/>
        </w:numPr>
      </w:pPr>
      <w:r>
        <w:t>Zaplanować i przeprowadzić aktywności w siedzibach budujące poczucie wspólnoty – spotkania i warsztaty, drobne aktywności integracyjne w pierwszych dniach masowych powrotów.</w:t>
      </w:r>
    </w:p>
    <w:p w14:paraId="3E8A3EC3" w14:textId="359FF50C" w:rsidR="00A920DA" w:rsidRDefault="00A920DA">
      <w:pPr>
        <w:pStyle w:val="Akapitzlist"/>
        <w:numPr>
          <w:ilvl w:val="0"/>
          <w:numId w:val="1"/>
        </w:numPr>
      </w:pPr>
      <w:r>
        <w:t>Wzmocnić kompetencje menedżerskie dotyczące zarządzania zadaniami w sposób szanujący autonomię, pozycjonujący sens i współzależność w pracy oraz poszczególnych zadaniach.</w:t>
      </w:r>
    </w:p>
    <w:p w14:paraId="54888DA6" w14:textId="138BD1C0" w:rsidR="00A920DA" w:rsidRDefault="00A920DA">
      <w:pPr>
        <w:pStyle w:val="Akapitzlist"/>
        <w:numPr>
          <w:ilvl w:val="0"/>
          <w:numId w:val="1"/>
        </w:numPr>
      </w:pPr>
      <w:r>
        <w:t xml:space="preserve">Zachować wysoką wrażliwość i empatię na niestandardowe zachowania ludzi. W razie potrzeby zwracać się do ekspertów. </w:t>
      </w:r>
    </w:p>
    <w:p w14:paraId="75FA7AC1" w14:textId="34ADCE3B" w:rsidR="00DC7882" w:rsidRDefault="00DC7882" w:rsidP="00DC7882"/>
    <w:p w14:paraId="0ACD8B19" w14:textId="3D936167" w:rsidR="00DC7882" w:rsidRDefault="00DC7882" w:rsidP="00DC7882">
      <w:r>
        <w:t>Grupa HR składa się z praktyków HR i zarządzania. Od 2016 roku w</w:t>
      </w:r>
      <w:r w:rsidR="002D071C">
        <w:t>ymienia się doświadczeniami, szkoli, by lepiej wypełniać funkcję zarządzania kapitałem intelektualnym i społecznym w organizacjach.</w:t>
      </w:r>
    </w:p>
    <w:p w14:paraId="1C92B5F3" w14:textId="5EE7B1B3" w:rsidR="00821BAC" w:rsidRDefault="00821BAC" w:rsidP="00821BAC"/>
    <w:p w14:paraId="79990254" w14:textId="0D62B4D2" w:rsidR="00821BAC" w:rsidRDefault="00821BAC" w:rsidP="00821BAC">
      <w:r>
        <w:t>Kontakt:</w:t>
      </w:r>
    </w:p>
    <w:p w14:paraId="3FE74F57" w14:textId="060B5EC1" w:rsidR="000E2FE1" w:rsidRDefault="000E2FE1" w:rsidP="000E2FE1">
      <w:pPr>
        <w:rPr>
          <w:rFonts w:ascii="Arial" w:eastAsiaTheme="minorEastAsia" w:hAnsi="Arial" w:cs="Arial"/>
          <w:b/>
          <w:noProof/>
          <w:sz w:val="18"/>
          <w:szCs w:val="18"/>
          <w:lang w:eastAsia="pl-PL"/>
        </w:rPr>
      </w:pPr>
      <w:r>
        <w:rPr>
          <w:rFonts w:ascii="Arial" w:eastAsiaTheme="minorEastAsia" w:hAnsi="Arial" w:cs="Arial"/>
          <w:noProof/>
          <w:sz w:val="18"/>
          <w:szCs w:val="18"/>
          <w:lang w:eastAsia="pl-PL"/>
        </w:rPr>
        <w:drawing>
          <wp:inline distT="0" distB="0" distL="0" distR="0" wp14:anchorId="318D7D5E" wp14:editId="7E5B0CEA">
            <wp:extent cx="285750" cy="285750"/>
            <wp:effectExtent l="0" t="0" r="0" b="0"/>
            <wp:docPr id="3" name="Obraz 3" descr="akcent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akcent_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54DAF" w14:textId="77777777" w:rsidR="004F4609" w:rsidRDefault="004F4609" w:rsidP="000E2FE1">
      <w:pPr>
        <w:rPr>
          <w:rFonts w:ascii="Arial" w:eastAsiaTheme="minorEastAsia" w:hAnsi="Arial" w:cs="Arial"/>
          <w:noProof/>
          <w:sz w:val="18"/>
          <w:szCs w:val="18"/>
          <w:lang w:eastAsia="pl-PL"/>
        </w:rPr>
      </w:pPr>
      <w:r>
        <w:rPr>
          <w:rFonts w:ascii="Arial" w:eastAsiaTheme="minorEastAsia" w:hAnsi="Arial" w:cs="Arial"/>
          <w:noProof/>
          <w:sz w:val="18"/>
          <w:szCs w:val="18"/>
          <w:lang w:eastAsia="pl-PL"/>
        </w:rPr>
        <w:t>Katarzyna Lorenc</w:t>
      </w:r>
    </w:p>
    <w:p w14:paraId="27DB8284" w14:textId="71499717" w:rsidR="000E2FE1" w:rsidRDefault="004F4609" w:rsidP="000E2FE1">
      <w:pPr>
        <w:rPr>
          <w:rFonts w:ascii="Arial" w:eastAsiaTheme="minorEastAsia" w:hAnsi="Arial" w:cs="Arial"/>
          <w:noProof/>
          <w:sz w:val="18"/>
          <w:szCs w:val="18"/>
          <w:lang w:eastAsia="pl-PL"/>
        </w:rPr>
      </w:pPr>
      <w:r>
        <w:rPr>
          <w:rFonts w:ascii="Arial" w:eastAsiaTheme="minorEastAsia" w:hAnsi="Arial" w:cs="Arial"/>
          <w:noProof/>
          <w:sz w:val="18"/>
          <w:szCs w:val="18"/>
          <w:lang w:eastAsia="pl-PL"/>
        </w:rPr>
        <w:t>e</w:t>
      </w:r>
      <w:r w:rsidR="000E2FE1">
        <w:rPr>
          <w:rFonts w:ascii="Arial" w:eastAsiaTheme="minorEastAsia" w:hAnsi="Arial" w:cs="Arial"/>
          <w:noProof/>
          <w:sz w:val="18"/>
          <w:szCs w:val="18"/>
          <w:lang w:eastAsia="pl-PL"/>
        </w:rPr>
        <w:t>kspert BCC</w:t>
      </w:r>
    </w:p>
    <w:p w14:paraId="2B2AC77D" w14:textId="77777777" w:rsidR="000E2FE1" w:rsidRDefault="000E2FE1" w:rsidP="000E2FE1">
      <w:pPr>
        <w:rPr>
          <w:rFonts w:ascii="Arial" w:eastAsiaTheme="minorEastAsia" w:hAnsi="Arial" w:cs="Arial"/>
          <w:noProof/>
          <w:sz w:val="18"/>
          <w:szCs w:val="18"/>
          <w:lang w:eastAsia="pl-PL"/>
        </w:rPr>
      </w:pPr>
      <w:r>
        <w:rPr>
          <w:rFonts w:ascii="Arial" w:eastAsiaTheme="minorEastAsia" w:hAnsi="Arial" w:cs="Arial"/>
          <w:noProof/>
          <w:sz w:val="18"/>
          <w:szCs w:val="18"/>
          <w:lang w:eastAsia="pl-PL"/>
        </w:rPr>
        <w:t>ds. rynku pracy i efektywności zarządzania</w:t>
      </w:r>
    </w:p>
    <w:p w14:paraId="2333CF78" w14:textId="77777777" w:rsidR="000E2FE1" w:rsidRDefault="000E2FE1" w:rsidP="000E2FE1">
      <w:pPr>
        <w:rPr>
          <w:rFonts w:ascii="Arial" w:eastAsiaTheme="minorEastAsia" w:hAnsi="Arial" w:cs="Arial"/>
          <w:noProof/>
          <w:sz w:val="18"/>
          <w:szCs w:val="18"/>
          <w:lang w:eastAsia="pl-PL"/>
        </w:rPr>
      </w:pPr>
      <w:r>
        <w:rPr>
          <w:rFonts w:ascii="Arial" w:eastAsiaTheme="minorEastAsia" w:hAnsi="Arial" w:cs="Arial"/>
          <w:noProof/>
          <w:sz w:val="18"/>
          <w:szCs w:val="18"/>
          <w:lang w:eastAsia="pl-PL"/>
        </w:rPr>
        <w:t>(+ 48) 606 94 14 99</w:t>
      </w:r>
    </w:p>
    <w:p w14:paraId="15AAE5E5" w14:textId="77777777" w:rsidR="000E2FE1" w:rsidRDefault="004F4609" w:rsidP="000E2FE1">
      <w:pPr>
        <w:rPr>
          <w:rFonts w:ascii="Arial" w:eastAsiaTheme="minorEastAsia" w:hAnsi="Arial" w:cs="Arial"/>
          <w:noProof/>
          <w:sz w:val="18"/>
          <w:szCs w:val="18"/>
          <w:lang w:eastAsia="pl-PL"/>
        </w:rPr>
      </w:pPr>
      <w:hyperlink r:id="rId10" w:history="1">
        <w:r w:rsidR="000E2FE1">
          <w:rPr>
            <w:rStyle w:val="Hipercze"/>
            <w:rFonts w:ascii="Arial" w:eastAsiaTheme="minorEastAsia" w:hAnsi="Arial" w:cs="Arial"/>
            <w:noProof/>
            <w:sz w:val="18"/>
            <w:szCs w:val="18"/>
            <w:lang w:eastAsia="pl-PL"/>
          </w:rPr>
          <w:t>katarzyna.Lorenc@bcc.org.pl</w:t>
        </w:r>
      </w:hyperlink>
    </w:p>
    <w:p w14:paraId="5842379D" w14:textId="77777777" w:rsidR="000E2FE1" w:rsidRDefault="004F4609" w:rsidP="000E2FE1">
      <w:pPr>
        <w:rPr>
          <w:rFonts w:ascii="Arial" w:eastAsiaTheme="minorEastAsia" w:hAnsi="Arial" w:cs="Arial"/>
          <w:noProof/>
          <w:sz w:val="18"/>
          <w:szCs w:val="18"/>
          <w:lang w:eastAsia="pl-PL"/>
        </w:rPr>
      </w:pPr>
      <w:hyperlink r:id="rId11" w:history="1">
        <w:r w:rsidR="000E2FE1">
          <w:rPr>
            <w:rStyle w:val="Hipercze"/>
            <w:rFonts w:ascii="Arial" w:eastAsiaTheme="minorEastAsia" w:hAnsi="Arial" w:cs="Arial"/>
            <w:noProof/>
            <w:sz w:val="18"/>
            <w:szCs w:val="18"/>
            <w:lang w:eastAsia="pl-PL"/>
          </w:rPr>
          <w:t>www.bcc.org.pl</w:t>
        </w:r>
      </w:hyperlink>
    </w:p>
    <w:p w14:paraId="7F5C6F6D" w14:textId="77777777" w:rsidR="000E2FE1" w:rsidRDefault="000E2FE1" w:rsidP="000E2FE1">
      <w:pPr>
        <w:rPr>
          <w:rFonts w:ascii="Arial" w:eastAsiaTheme="minorEastAsia" w:hAnsi="Arial" w:cs="Arial"/>
          <w:noProof/>
          <w:sz w:val="18"/>
          <w:szCs w:val="18"/>
          <w:lang w:eastAsia="pl-PL"/>
        </w:rPr>
      </w:pPr>
    </w:p>
    <w:p w14:paraId="182BB04C" w14:textId="575095B0" w:rsidR="000E2FE1" w:rsidRDefault="000E2FE1" w:rsidP="000E2FE1">
      <w:pPr>
        <w:rPr>
          <w:rFonts w:ascii="Arial" w:eastAsiaTheme="minorEastAsia" w:hAnsi="Arial" w:cs="Arial"/>
          <w:i/>
          <w:noProof/>
          <w:color w:val="636B71"/>
          <w:sz w:val="18"/>
          <w:szCs w:val="18"/>
          <w:lang w:eastAsia="pl-PL"/>
        </w:rPr>
      </w:pPr>
      <w:r>
        <w:rPr>
          <w:rFonts w:ascii="Arial" w:eastAsiaTheme="minorEastAsia" w:hAnsi="Arial" w:cs="Arial"/>
          <w:noProof/>
          <w:sz w:val="18"/>
          <w:szCs w:val="18"/>
          <w:lang w:eastAsia="pl-PL"/>
        </w:rPr>
        <w:drawing>
          <wp:inline distT="0" distB="0" distL="0" distR="0" wp14:anchorId="1C0F47FB" wp14:editId="6C3F669D">
            <wp:extent cx="1905000" cy="904875"/>
            <wp:effectExtent l="0" t="0" r="0" b="9525"/>
            <wp:docPr id="2" name="Obraz 2" descr="stopka_200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opka_200_n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0549" w14:textId="77777777" w:rsidR="000E2FE1" w:rsidRDefault="000E2FE1" w:rsidP="000E2FE1">
      <w:pPr>
        <w:rPr>
          <w:rFonts w:asciiTheme="minorHAnsi" w:eastAsiaTheme="minorEastAsia" w:hAnsiTheme="minorHAnsi" w:cstheme="minorBidi"/>
          <w:noProof/>
          <w:lang w:eastAsia="pl-PL"/>
        </w:rPr>
      </w:pPr>
    </w:p>
    <w:p w14:paraId="1132ABC5" w14:textId="77777777" w:rsidR="000E2FE1" w:rsidRDefault="000E2FE1" w:rsidP="000E2FE1">
      <w:pPr>
        <w:rPr>
          <w:rFonts w:eastAsiaTheme="minorEastAsia"/>
          <w:noProof/>
          <w:lang w:eastAsia="pl-PL"/>
        </w:rPr>
      </w:pPr>
    </w:p>
    <w:p w14:paraId="4DF67AAD" w14:textId="77777777" w:rsidR="00821BAC" w:rsidRPr="006F66F2" w:rsidRDefault="00821BAC" w:rsidP="00821BAC"/>
    <w:sectPr w:rsidR="00821BAC" w:rsidRPr="006F6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92E"/>
    <w:multiLevelType w:val="hybridMultilevel"/>
    <w:tmpl w:val="45FEB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F2"/>
    <w:rsid w:val="000E2FE1"/>
    <w:rsid w:val="002D071C"/>
    <w:rsid w:val="00303A70"/>
    <w:rsid w:val="004F4609"/>
    <w:rsid w:val="00603EA7"/>
    <w:rsid w:val="006F66F2"/>
    <w:rsid w:val="00821BAC"/>
    <w:rsid w:val="00A920DA"/>
    <w:rsid w:val="00D90D70"/>
    <w:rsid w:val="00D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1E0"/>
  <w15:chartTrackingRefBased/>
  <w15:docId w15:val="{6218B76A-C244-4C55-B2CD-DE94EAEC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Semilight" w:eastAsiaTheme="minorHAnsi" w:hAnsi="Segoe UI Semilight" w:cs="Segoe UI Semilight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6F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E2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cc.org.pl/" TargetMode="External"/><Relationship Id="rId5" Type="http://schemas.openxmlformats.org/officeDocument/2006/relationships/styles" Target="styles.xml"/><Relationship Id="rId10" Type="http://schemas.openxmlformats.org/officeDocument/2006/relationships/hyperlink" Target="mailto:katarzyna.Lorenc@bcc.org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DCE48349F8EC45A50068713D6A527C" ma:contentTypeVersion="13" ma:contentTypeDescription="Utwórz nowy dokument." ma:contentTypeScope="" ma:versionID="c60664fd54eccac439791eecbd104c2e">
  <xsd:schema xmlns:xsd="http://www.w3.org/2001/XMLSchema" xmlns:xs="http://www.w3.org/2001/XMLSchema" xmlns:p="http://schemas.microsoft.com/office/2006/metadata/properties" xmlns:ns3="3546bdd8-6355-4ad0-811a-c8fb40a38307" xmlns:ns4="fd1e899b-1a2e-442e-b461-a4a28b7235f6" targetNamespace="http://schemas.microsoft.com/office/2006/metadata/properties" ma:root="true" ma:fieldsID="5b14e2dfe72605aa19b6c559796f9d4f" ns3:_="" ns4:_="">
    <xsd:import namespace="3546bdd8-6355-4ad0-811a-c8fb40a38307"/>
    <xsd:import namespace="fd1e899b-1a2e-442e-b461-a4a28b723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6bdd8-6355-4ad0-811a-c8fb40a3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e899b-1a2e-442e-b461-a4a28b723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96251-DDE6-4E13-B74B-74DAF38F3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C3534-874E-4DB2-9BDA-BDFE51050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6bdd8-6355-4ad0-811a-c8fb40a38307"/>
    <ds:schemaRef ds:uri="fd1e899b-1a2e-442e-b461-a4a28b723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15F76-664E-4258-A545-AB3130204E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Lorenc</dc:creator>
  <cp:keywords/>
  <dc:description/>
  <cp:lastModifiedBy>Marzena Denkiewicz</cp:lastModifiedBy>
  <cp:revision>2</cp:revision>
  <dcterms:created xsi:type="dcterms:W3CDTF">2020-08-03T08:45:00Z</dcterms:created>
  <dcterms:modified xsi:type="dcterms:W3CDTF">2020-08-03T08:45:00Z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0x0101003CDCE48349F8EC45A50068713D6A527C</vt:lpwstr>
  </property>
</Properties>
</file>