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CF" w:rsidRDefault="00BF53CF" w:rsidP="00BF53CF">
      <w:pPr>
        <w:spacing w:after="0" w:line="240" w:lineRule="auto"/>
        <w:jc w:val="center"/>
        <w:rPr>
          <w:sz w:val="2"/>
          <w:szCs w:val="2"/>
        </w:rPr>
      </w:pPr>
      <w:r>
        <w:rPr>
          <w:noProof/>
          <w:sz w:val="2"/>
          <w:szCs w:val="2"/>
          <w:lang w:eastAsia="pl-PL"/>
        </w:rPr>
        <w:drawing>
          <wp:inline distT="0" distB="0" distL="0" distR="0">
            <wp:extent cx="2238375" cy="1857375"/>
            <wp:effectExtent l="0" t="0" r="9525" b="0"/>
            <wp:docPr id="2" name="Obraz 2" descr="0c428292-28c0-4f74-b347-08cf9b51f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c428292-28c0-4f74-b347-08cf9b51f9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3CF" w:rsidRPr="006044F9" w:rsidRDefault="00BF53CF" w:rsidP="00BF53CF">
      <w:pPr>
        <w:spacing w:after="0" w:line="240" w:lineRule="auto"/>
        <w:jc w:val="center"/>
        <w:rPr>
          <w:b/>
          <w:bCs/>
          <w:sz w:val="10"/>
        </w:rPr>
      </w:pPr>
    </w:p>
    <w:p w:rsidR="00BF53CF" w:rsidRPr="00F77069" w:rsidRDefault="00BF53CF" w:rsidP="00BF53CF">
      <w:pPr>
        <w:pStyle w:val="Tekstpodstawowy2"/>
        <w:tabs>
          <w:tab w:val="left" w:pos="0"/>
          <w:tab w:val="left" w:pos="8647"/>
          <w:tab w:val="left" w:pos="9072"/>
        </w:tabs>
        <w:spacing w:after="120" w:line="360" w:lineRule="auto"/>
        <w:ind w:firstLine="0"/>
        <w:jc w:val="right"/>
        <w:rPr>
          <w:b w:val="0"/>
          <w:bCs w:val="0"/>
          <w:sz w:val="18"/>
        </w:rPr>
      </w:pPr>
      <w:r w:rsidRPr="00F77069">
        <w:rPr>
          <w:b w:val="0"/>
          <w:bCs w:val="0"/>
          <w:sz w:val="18"/>
        </w:rPr>
        <w:t xml:space="preserve">Warszawa, </w:t>
      </w:r>
      <w:r w:rsidR="00326C57">
        <w:rPr>
          <w:b w:val="0"/>
          <w:bCs w:val="0"/>
          <w:sz w:val="18"/>
        </w:rPr>
        <w:t>2</w:t>
      </w:r>
      <w:r w:rsidR="007332F7">
        <w:rPr>
          <w:b w:val="0"/>
          <w:bCs w:val="0"/>
          <w:sz w:val="18"/>
        </w:rPr>
        <w:t>1 września</w:t>
      </w:r>
      <w:r w:rsidRPr="00F77069">
        <w:rPr>
          <w:b w:val="0"/>
          <w:bCs w:val="0"/>
          <w:sz w:val="18"/>
        </w:rPr>
        <w:t xml:space="preserve"> 20</w:t>
      </w:r>
      <w:r>
        <w:rPr>
          <w:b w:val="0"/>
          <w:bCs w:val="0"/>
          <w:sz w:val="18"/>
        </w:rPr>
        <w:t>20</w:t>
      </w:r>
      <w:r w:rsidRPr="00F77069">
        <w:rPr>
          <w:b w:val="0"/>
          <w:bCs w:val="0"/>
          <w:sz w:val="18"/>
        </w:rPr>
        <w:t xml:space="preserve"> r.</w:t>
      </w:r>
    </w:p>
    <w:p w:rsidR="00BF53CF" w:rsidRDefault="00BF53CF" w:rsidP="00BF53CF">
      <w:pPr>
        <w:pStyle w:val="Tekstpodstawowy2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0"/>
          <w:tab w:val="left" w:pos="8647"/>
          <w:tab w:val="left" w:pos="9072"/>
        </w:tabs>
        <w:ind w:firstLine="0"/>
        <w:jc w:val="center"/>
        <w:outlineLvl w:val="0"/>
        <w:rPr>
          <w:rFonts w:ascii="Times New Roman" w:hAnsi="Times New Roman"/>
          <w:smallCaps/>
          <w:color w:val="003366"/>
          <w:sz w:val="48"/>
          <w:szCs w:val="48"/>
        </w:rPr>
      </w:pPr>
      <w:r>
        <w:rPr>
          <w:rFonts w:ascii="Times New Roman" w:hAnsi="Times New Roman"/>
          <w:smallCaps/>
          <w:color w:val="003366"/>
          <w:sz w:val="48"/>
          <w:szCs w:val="48"/>
        </w:rPr>
        <w:t xml:space="preserve">RAPORT: </w:t>
      </w:r>
      <w:r w:rsidR="00326C57">
        <w:rPr>
          <w:rFonts w:ascii="Times New Roman" w:hAnsi="Times New Roman"/>
          <w:smallCaps/>
          <w:color w:val="003366"/>
          <w:sz w:val="48"/>
          <w:szCs w:val="48"/>
        </w:rPr>
        <w:t>Prawo Gospodarcze</w:t>
      </w:r>
    </w:p>
    <w:p w:rsidR="00BF53CF" w:rsidRPr="00ED0171" w:rsidRDefault="00BF53CF" w:rsidP="00BF53CF">
      <w:pPr>
        <w:spacing w:after="0" w:line="240" w:lineRule="auto"/>
        <w:jc w:val="both"/>
        <w:rPr>
          <w:b/>
          <w:sz w:val="16"/>
          <w:szCs w:val="16"/>
        </w:rPr>
      </w:pPr>
    </w:p>
    <w:p w:rsidR="00BF53CF" w:rsidRPr="00326A75" w:rsidRDefault="00BF53CF" w:rsidP="00BF53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51B48" w:rsidRPr="00951B48" w:rsidRDefault="00951B48" w:rsidP="00EB3EB3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– </w:t>
      </w:r>
      <w:r w:rsidRPr="00951B48">
        <w:rPr>
          <w:rFonts w:ascii="Arial" w:hAnsi="Arial" w:cs="Arial"/>
          <w:i/>
          <w:sz w:val="18"/>
          <w:szCs w:val="18"/>
        </w:rPr>
        <w:t>Należy ograniczyć podatek od niektórych instytucji finansowych albo zawiesić lub zmienić niektóre jego elementy, które uderzają w klientów. Na skutek kryzysu ryzyko kredytowe znacząco wzrosło, dlatego banki zaostrzają kryteria udzielania kredytów, co może skutkować pogorszeniem sytuacji finansowej klientów. Dodatkowe trudności w uzyskaniu kredytów mogą mieć katastrofalne skutki dla wielu przedsiębiorców</w:t>
      </w:r>
      <w:r>
        <w:rPr>
          <w:rFonts w:ascii="Arial" w:hAnsi="Arial" w:cs="Arial"/>
          <w:sz w:val="18"/>
          <w:szCs w:val="18"/>
        </w:rPr>
        <w:t xml:space="preserve"> – uważa </w:t>
      </w:r>
      <w:r w:rsidRPr="00951B48">
        <w:rPr>
          <w:rFonts w:ascii="Arial" w:hAnsi="Arial" w:cs="Arial"/>
          <w:b/>
          <w:sz w:val="18"/>
          <w:szCs w:val="18"/>
        </w:rPr>
        <w:t>Ryszard Kalisz, minister ds. prawa gospodarczego w</w:t>
      </w:r>
      <w:r w:rsidRPr="00EB3EB3">
        <w:rPr>
          <w:rFonts w:ascii="Arial" w:hAnsi="Arial" w:cs="Arial"/>
          <w:b/>
          <w:sz w:val="18"/>
          <w:szCs w:val="18"/>
        </w:rPr>
        <w:t xml:space="preserve"> Gospodarczym Gabinecie Cieni BCC</w:t>
      </w:r>
      <w:r>
        <w:rPr>
          <w:rFonts w:ascii="Arial" w:hAnsi="Arial" w:cs="Arial"/>
          <w:sz w:val="18"/>
          <w:szCs w:val="18"/>
        </w:rPr>
        <w:t>. –</w:t>
      </w:r>
      <w:r w:rsidRPr="00951B48">
        <w:rPr>
          <w:rFonts w:ascii="Arial" w:hAnsi="Arial" w:cs="Arial"/>
          <w:sz w:val="18"/>
          <w:szCs w:val="18"/>
        </w:rPr>
        <w:t xml:space="preserve"> </w:t>
      </w:r>
      <w:r w:rsidRPr="00951B48">
        <w:rPr>
          <w:rFonts w:ascii="Arial" w:hAnsi="Arial" w:cs="Arial"/>
          <w:i/>
          <w:sz w:val="18"/>
          <w:szCs w:val="18"/>
        </w:rPr>
        <w:t>Choć środki pomocowe przewidziane w tarczach antykryzysowych stanowią dla przedsiębiorców niezbędne wsparcie w dobie kryzysu, to nigdy nie będą mogły stanowić podstawowego źródła finansowania działalności gospodarczej</w:t>
      </w:r>
      <w:r>
        <w:rPr>
          <w:rFonts w:ascii="Arial" w:hAnsi="Arial" w:cs="Arial"/>
          <w:sz w:val="18"/>
          <w:szCs w:val="18"/>
        </w:rPr>
        <w:t xml:space="preserve"> – wyjaśnia.</w:t>
      </w:r>
    </w:p>
    <w:p w:rsidR="0035770C" w:rsidRDefault="00EB3EB3" w:rsidP="00586AB1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EB3EB3">
        <w:rPr>
          <w:rFonts w:ascii="Arial" w:hAnsi="Arial" w:cs="Arial"/>
          <w:b/>
          <w:sz w:val="18"/>
          <w:szCs w:val="18"/>
        </w:rPr>
        <w:t xml:space="preserve">Zdaniem </w:t>
      </w:r>
      <w:r w:rsidR="00951B48">
        <w:rPr>
          <w:rFonts w:ascii="Arial" w:hAnsi="Arial" w:cs="Arial"/>
          <w:b/>
          <w:sz w:val="18"/>
          <w:szCs w:val="18"/>
        </w:rPr>
        <w:t>Ryszarda Kalisza</w:t>
      </w:r>
      <w:r w:rsidRPr="00EB3EB3">
        <w:rPr>
          <w:rFonts w:ascii="Arial" w:hAnsi="Arial" w:cs="Arial"/>
          <w:sz w:val="18"/>
          <w:szCs w:val="18"/>
        </w:rPr>
        <w:t xml:space="preserve">, </w:t>
      </w:r>
      <w:r w:rsidR="00F375A4">
        <w:rPr>
          <w:rFonts w:ascii="Arial" w:hAnsi="Arial" w:cs="Arial"/>
          <w:sz w:val="18"/>
          <w:szCs w:val="18"/>
        </w:rPr>
        <w:t>rząd powinien</w:t>
      </w:r>
      <w:r w:rsidR="00586AB1" w:rsidRPr="00586AB1">
        <w:t xml:space="preserve"> </w:t>
      </w:r>
      <w:r w:rsidR="00586AB1" w:rsidRPr="00586AB1">
        <w:rPr>
          <w:rFonts w:ascii="Arial" w:hAnsi="Arial" w:cs="Arial"/>
          <w:sz w:val="18"/>
          <w:szCs w:val="18"/>
        </w:rPr>
        <w:t xml:space="preserve">zrezygnować z podniesienia płacy minimalnej </w:t>
      </w:r>
      <w:r w:rsidR="00586AB1">
        <w:rPr>
          <w:rFonts w:ascii="Arial" w:hAnsi="Arial" w:cs="Arial"/>
          <w:sz w:val="18"/>
          <w:szCs w:val="18"/>
        </w:rPr>
        <w:t xml:space="preserve">do poziomu 2800 zł w 2021 roku. – </w:t>
      </w:r>
      <w:r w:rsidR="00586AB1" w:rsidRPr="00586AB1">
        <w:rPr>
          <w:rFonts w:ascii="Arial" w:hAnsi="Arial" w:cs="Arial"/>
          <w:i/>
          <w:sz w:val="18"/>
          <w:szCs w:val="18"/>
        </w:rPr>
        <w:t>Planowany wzrost minimalnego wynagrodzenia za pracę doprowadzi do wzrostu kosztów zatrudnienia i pogłębiania się „szarej strefy” oraz wzrostu bezrobocia</w:t>
      </w:r>
      <w:r w:rsidR="00586AB1">
        <w:rPr>
          <w:rFonts w:ascii="Arial" w:hAnsi="Arial" w:cs="Arial"/>
          <w:i/>
          <w:sz w:val="18"/>
          <w:szCs w:val="18"/>
        </w:rPr>
        <w:t xml:space="preserve"> </w:t>
      </w:r>
      <w:r w:rsidR="00586AB1" w:rsidRPr="00586AB1">
        <w:rPr>
          <w:rFonts w:ascii="Arial" w:hAnsi="Arial" w:cs="Arial"/>
          <w:i/>
          <w:sz w:val="18"/>
          <w:szCs w:val="18"/>
        </w:rPr>
        <w:t xml:space="preserve">– </w:t>
      </w:r>
      <w:r w:rsidR="00586AB1" w:rsidRPr="00586AB1">
        <w:rPr>
          <w:rFonts w:ascii="Arial" w:hAnsi="Arial" w:cs="Arial"/>
          <w:sz w:val="18"/>
          <w:szCs w:val="18"/>
        </w:rPr>
        <w:t>podkreśla minister prawa gospodarczego w Gabinecie Cieni BCC.</w:t>
      </w:r>
    </w:p>
    <w:p w:rsidR="0035770C" w:rsidRDefault="0035770C" w:rsidP="0035770C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Jego zdaniem, należy również </w:t>
      </w:r>
      <w:r w:rsidR="00586AB1" w:rsidRPr="00586AB1">
        <w:rPr>
          <w:rFonts w:ascii="Arial" w:hAnsi="Arial" w:cs="Arial"/>
          <w:sz w:val="18"/>
          <w:szCs w:val="18"/>
        </w:rPr>
        <w:t>uzależnić procentową wysokość spadku obrotów od wielkości przedsiębiorstwa.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 xml:space="preserve">– </w:t>
      </w:r>
      <w:r w:rsidRPr="0035770C">
        <w:rPr>
          <w:rFonts w:ascii="Arial" w:hAnsi="Arial" w:cs="Arial"/>
          <w:i/>
          <w:sz w:val="18"/>
          <w:szCs w:val="18"/>
        </w:rPr>
        <w:t>Kryterium spadku obrotów, w obecnym kształcie, nie spełnia swojej prewencyjnej roli</w:t>
      </w:r>
      <w:r>
        <w:rPr>
          <w:rFonts w:ascii="Arial" w:hAnsi="Arial" w:cs="Arial"/>
          <w:i/>
          <w:sz w:val="18"/>
          <w:szCs w:val="18"/>
        </w:rPr>
        <w:t>.</w:t>
      </w:r>
      <w:r w:rsidRPr="0035770C">
        <w:rPr>
          <w:rFonts w:ascii="Arial" w:hAnsi="Arial" w:cs="Arial"/>
          <w:i/>
          <w:sz w:val="18"/>
          <w:szCs w:val="18"/>
        </w:rPr>
        <w:t xml:space="preserve"> </w:t>
      </w:r>
      <w:r w:rsidR="00586AB1" w:rsidRPr="0035770C">
        <w:rPr>
          <w:rFonts w:ascii="Arial" w:hAnsi="Arial" w:cs="Arial"/>
          <w:i/>
          <w:sz w:val="18"/>
          <w:szCs w:val="18"/>
        </w:rPr>
        <w:t>25% spadek obrotów skutkowałby zamknięciem przedsiębiorstwa po czterech miesiącach. Firmy nie mogą dzisiaj pozwolić sobie na tak niekorzystne wyniki finansowe, z tego względu redukują koszty prowadzenia dzia</w:t>
      </w:r>
      <w:r>
        <w:rPr>
          <w:rFonts w:ascii="Arial" w:hAnsi="Arial" w:cs="Arial"/>
          <w:i/>
          <w:sz w:val="18"/>
          <w:szCs w:val="18"/>
        </w:rPr>
        <w:t xml:space="preserve">łalności zwalniając pracowników – </w:t>
      </w:r>
      <w:r>
        <w:rPr>
          <w:rFonts w:ascii="Arial" w:hAnsi="Arial" w:cs="Arial"/>
          <w:sz w:val="18"/>
          <w:szCs w:val="18"/>
        </w:rPr>
        <w:t>dodaje Ryszard Kalisz.</w:t>
      </w:r>
    </w:p>
    <w:p w:rsidR="0035770C" w:rsidRPr="0035770C" w:rsidRDefault="0035770C" w:rsidP="0035770C">
      <w:pPr>
        <w:spacing w:before="240" w:after="0"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Wśród pozytywnych działań rządu wymienia z</w:t>
      </w:r>
      <w:r w:rsidRPr="0035770C">
        <w:rPr>
          <w:rFonts w:ascii="Arial" w:hAnsi="Arial" w:cs="Arial"/>
          <w:sz w:val="18"/>
          <w:szCs w:val="18"/>
        </w:rPr>
        <w:t xml:space="preserve">wolnienie z podatku minimalnego od nieruchomości komercyjnych za okres od 1 marca do 31 grudnia 2020 r. </w:t>
      </w:r>
      <w:r>
        <w:rPr>
          <w:rFonts w:ascii="Arial" w:hAnsi="Arial" w:cs="Arial"/>
          <w:sz w:val="18"/>
          <w:szCs w:val="18"/>
        </w:rPr>
        <w:t>oraz p</w:t>
      </w:r>
      <w:r w:rsidRPr="00D253E8">
        <w:rPr>
          <w:rFonts w:ascii="Arial" w:hAnsi="Arial" w:cs="Arial"/>
          <w:sz w:val="18"/>
          <w:szCs w:val="18"/>
        </w:rPr>
        <w:t xml:space="preserve">akiet </w:t>
      </w:r>
      <w:r>
        <w:rPr>
          <w:rFonts w:ascii="Arial" w:hAnsi="Arial" w:cs="Arial"/>
          <w:sz w:val="18"/>
          <w:szCs w:val="18"/>
        </w:rPr>
        <w:t>s</w:t>
      </w:r>
      <w:r w:rsidRPr="00D253E8">
        <w:rPr>
          <w:rFonts w:ascii="Arial" w:hAnsi="Arial" w:cs="Arial"/>
          <w:sz w:val="18"/>
          <w:szCs w:val="18"/>
        </w:rPr>
        <w:t>lim VAT</w:t>
      </w:r>
      <w:r>
        <w:rPr>
          <w:rFonts w:ascii="Arial" w:hAnsi="Arial" w:cs="Arial"/>
          <w:sz w:val="18"/>
          <w:szCs w:val="18"/>
        </w:rPr>
        <w:t>, który</w:t>
      </w:r>
      <w:r w:rsidRPr="00D253E8">
        <w:rPr>
          <w:rFonts w:ascii="Arial" w:hAnsi="Arial" w:cs="Arial"/>
          <w:sz w:val="18"/>
          <w:szCs w:val="18"/>
        </w:rPr>
        <w:t xml:space="preserve"> zakłada wiele uproszczeń dla podatników</w:t>
      </w:r>
      <w:r>
        <w:rPr>
          <w:rFonts w:ascii="Arial" w:hAnsi="Arial" w:cs="Arial"/>
          <w:sz w:val="18"/>
          <w:szCs w:val="18"/>
        </w:rPr>
        <w:t>.</w:t>
      </w:r>
    </w:p>
    <w:p w:rsidR="0035770C" w:rsidRDefault="0035770C" w:rsidP="00C31928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F375A4" w:rsidRPr="00F375A4" w:rsidRDefault="00F375A4" w:rsidP="00C3192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375A4">
        <w:rPr>
          <w:rFonts w:ascii="Arial" w:hAnsi="Arial" w:cs="Arial"/>
          <w:sz w:val="18"/>
          <w:szCs w:val="18"/>
        </w:rPr>
        <w:t xml:space="preserve">Więcej informacji </w:t>
      </w:r>
      <w:r w:rsidR="007918FE">
        <w:rPr>
          <w:rFonts w:ascii="Arial" w:hAnsi="Arial" w:cs="Arial"/>
          <w:sz w:val="18"/>
          <w:szCs w:val="18"/>
        </w:rPr>
        <w:t>poniżej.</w:t>
      </w:r>
    </w:p>
    <w:p w:rsidR="00F375A4" w:rsidRPr="00C31928" w:rsidRDefault="00F375A4" w:rsidP="00C31928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BF53CF" w:rsidRPr="00C31928" w:rsidRDefault="00BF53CF" w:rsidP="00C3192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31928">
        <w:rPr>
          <w:rFonts w:ascii="Arial" w:hAnsi="Arial" w:cs="Arial"/>
          <w:b/>
          <w:sz w:val="18"/>
          <w:szCs w:val="18"/>
        </w:rPr>
        <w:t>Gospodarczy Gabinet Cieni Business Centre Club</w:t>
      </w:r>
      <w:r w:rsidRPr="00C31928">
        <w:rPr>
          <w:rFonts w:ascii="Arial" w:hAnsi="Arial" w:cs="Arial"/>
          <w:sz w:val="18"/>
          <w:szCs w:val="18"/>
        </w:rPr>
        <w:t xml:space="preserve"> to think tank powołany w kwietniu 2012 r., aby wspierać działania prorozwojowe władz publicznych, monitorować prace resortów kluczowych dla przedsiębiorczości, rekomendować zmiany sprzyjające rozwojowi kraju, wzrostowi gospodarczemu i konkurencyjności polskich firm. </w:t>
      </w:r>
    </w:p>
    <w:p w:rsidR="00BF53CF" w:rsidRPr="00C31928" w:rsidRDefault="00BF53CF" w:rsidP="00C3192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BF53CF" w:rsidRPr="00C31928" w:rsidRDefault="00BF53CF" w:rsidP="00C3192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31928">
        <w:rPr>
          <w:rFonts w:ascii="Arial" w:hAnsi="Arial" w:cs="Arial"/>
          <w:sz w:val="18"/>
          <w:szCs w:val="18"/>
        </w:rPr>
        <w:t>W skład gabinetu wchodzą wybitni, gospodarczy fachowcy, z których wielu piastowało w przeszłości funkcje publiczne. Więcej informacji:</w:t>
      </w:r>
      <w:r w:rsidR="0035770C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Pr="00C31928">
          <w:rPr>
            <w:rStyle w:val="Hipercze"/>
            <w:rFonts w:ascii="Arial" w:hAnsi="Arial" w:cs="Arial"/>
            <w:sz w:val="18"/>
            <w:szCs w:val="18"/>
          </w:rPr>
          <w:t>https://www.bcc.org.pl/strefa_eksperta/gospodarczy-gabinet-cieni/</w:t>
        </w:r>
      </w:hyperlink>
    </w:p>
    <w:p w:rsidR="00BF53CF" w:rsidRPr="00C31928" w:rsidRDefault="00BF53CF" w:rsidP="00C3192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326C57" w:rsidRPr="00326C57" w:rsidRDefault="00326C57" w:rsidP="00326C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6C57">
        <w:rPr>
          <w:rFonts w:eastAsia="Times New Roman" w:cs="Calibri"/>
          <w:b/>
          <w:bCs/>
          <w:color w:val="000000"/>
          <w:sz w:val="28"/>
          <w:szCs w:val="28"/>
          <w:lang w:eastAsia="pl-PL"/>
        </w:rPr>
        <w:lastRenderedPageBreak/>
        <w:t>Prawo gospodarcze</w:t>
      </w:r>
    </w:p>
    <w:p w:rsidR="00326C57" w:rsidRPr="00326C57" w:rsidRDefault="00326C57" w:rsidP="00326C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6"/>
        <w:gridCol w:w="8082"/>
      </w:tblGrid>
      <w:tr w:rsidR="00326C57" w:rsidRPr="00326C57" w:rsidTr="00326C5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57" w:rsidRPr="00326C57" w:rsidRDefault="00326C57" w:rsidP="00326C57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noProof/>
                <w:color w:val="000000"/>
                <w:bdr w:val="none" w:sz="0" w:space="0" w:color="auto" w:frame="1"/>
                <w:lang w:eastAsia="pl-PL"/>
              </w:rPr>
              <w:drawing>
                <wp:inline distT="0" distB="0" distL="0" distR="0">
                  <wp:extent cx="609600" cy="781050"/>
                  <wp:effectExtent l="19050" t="0" r="0" b="0"/>
                  <wp:docPr id="1" name="Obraz 1" descr="D:\Dokumenty\BCC\LUDZIE BCC\Kalisz Ryszard\Kalisz Rysz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kumenty\BCC\LUDZIE BCC\Kalisz Ryszard\Kalisz Rysz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C57" w:rsidRPr="00326C57" w:rsidRDefault="00326C57" w:rsidP="003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26C57">
              <w:rPr>
                <w:rFonts w:ascii="Bookman Old Style" w:eastAsia="Times New Roman" w:hAnsi="Bookman Old Style"/>
                <w:b/>
                <w:bCs/>
                <w:smallCaps/>
                <w:color w:val="000000"/>
                <w:sz w:val="16"/>
                <w:szCs w:val="16"/>
                <w:lang w:eastAsia="pl-PL"/>
              </w:rPr>
              <w:t>RYSZARD KALISZ</w:t>
            </w:r>
          </w:p>
          <w:p w:rsidR="00326C57" w:rsidRPr="00326C57" w:rsidRDefault="00326C57" w:rsidP="003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26C57">
              <w:rPr>
                <w:rFonts w:ascii="Bookman Old Style" w:eastAsia="Times New Roman" w:hAnsi="Bookman Old Style"/>
                <w:b/>
                <w:bCs/>
                <w:color w:val="000000"/>
                <w:sz w:val="16"/>
                <w:szCs w:val="16"/>
                <w:lang w:eastAsia="pl-PL"/>
              </w:rPr>
              <w:t>minister ds. prawa gospodarczego w Gospodarczym Gabinecie Cieni BCC</w:t>
            </w:r>
          </w:p>
          <w:p w:rsidR="00326C57" w:rsidRPr="00326C57" w:rsidRDefault="00326C57" w:rsidP="00326C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26C57">
              <w:rPr>
                <w:rFonts w:ascii="Bookman Old Style" w:eastAsia="Times New Roman" w:hAnsi="Bookman Old Style"/>
                <w:i/>
                <w:iCs/>
                <w:color w:val="000000"/>
                <w:sz w:val="14"/>
                <w:szCs w:val="14"/>
                <w:lang w:eastAsia="pl-PL"/>
              </w:rPr>
              <w:t>W latach 1987 – 2007 wykonywał zawód adwokata. Ekspert w obradach „ Okrągłego Stołu” (1989), zastępca Przewodniczącego Trybunału Stanu (1993-1995), współtwórca przepisów Konstytucji RP z 2 kwietnia 1997 r., Sekretarz Stanu w Kancelarii Prezydenta RP (1997-2000), Szef Kancelarii Prezydenta (1998-2000), Członek Rady Bezpieczeństwa Narodowego (2000-2005), Minister Spraw Wewnętrznych i Administracji RP (2004-2005). Poseł na Sejm IV, VI i VII kadencji (2001-2015).</w:t>
            </w:r>
          </w:p>
          <w:p w:rsidR="00326C57" w:rsidRPr="00326C57" w:rsidRDefault="00326C57" w:rsidP="00D253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26C57">
              <w:rPr>
                <w:rFonts w:ascii="Wingdings 2" w:eastAsia="Times New Roman" w:hAnsi="Wingdings 2"/>
                <w:b/>
                <w:bCs/>
                <w:color w:val="000000"/>
                <w:sz w:val="14"/>
                <w:szCs w:val="14"/>
                <w:lang w:eastAsia="pl-PL"/>
              </w:rPr>
              <w:t>🕾</w:t>
            </w:r>
            <w:r w:rsidRPr="00326C57">
              <w:rPr>
                <w:rFonts w:ascii="Bookman Old Style" w:eastAsia="Times New Roman" w:hAnsi="Bookman Old Style"/>
                <w:b/>
                <w:bCs/>
                <w:color w:val="000000"/>
                <w:sz w:val="14"/>
                <w:szCs w:val="14"/>
                <w:lang w:eastAsia="pl-PL"/>
              </w:rPr>
              <w:t xml:space="preserve"> 601 884 411 </w:t>
            </w:r>
            <w:r w:rsidRPr="00326C57">
              <w:rPr>
                <w:rFonts w:ascii="Wingdings" w:eastAsia="Times New Roman" w:hAnsi="Wingdings"/>
                <w:b/>
                <w:bCs/>
                <w:color w:val="000000"/>
                <w:sz w:val="14"/>
                <w:szCs w:val="14"/>
                <w:lang w:eastAsia="pl-PL"/>
              </w:rPr>
              <w:t>🖂</w:t>
            </w:r>
            <w:r w:rsidR="00D253E8">
              <w:rPr>
                <w:rFonts w:ascii="Bookman Old Style" w:eastAsia="Times New Roman" w:hAnsi="Bookman Old Style"/>
                <w:b/>
                <w:bCs/>
                <w:color w:val="000000"/>
                <w:sz w:val="14"/>
                <w:szCs w:val="14"/>
                <w:lang w:eastAsia="pl-PL"/>
              </w:rPr>
              <w:t xml:space="preserve">  </w:t>
            </w:r>
            <w:r w:rsidRPr="00326C57">
              <w:rPr>
                <w:rFonts w:ascii="Bookman Old Style" w:eastAsia="Times New Roman" w:hAnsi="Bookman Old Style"/>
                <w:b/>
                <w:bCs/>
                <w:color w:val="000000"/>
                <w:sz w:val="14"/>
                <w:szCs w:val="14"/>
                <w:lang w:eastAsia="pl-PL"/>
              </w:rPr>
              <w:t>ryszard.kalisz@bcc.org.pl</w:t>
            </w:r>
          </w:p>
        </w:tc>
      </w:tr>
    </w:tbl>
    <w:p w:rsidR="00BF53CF" w:rsidRPr="00326C57" w:rsidRDefault="00BF53CF" w:rsidP="00BF53CF">
      <w:pPr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4"/>
      </w:tblGrid>
      <w:tr w:rsidR="00BF53CF" w:rsidRPr="000325CF" w:rsidTr="00DF4AF3">
        <w:tc>
          <w:tcPr>
            <w:tcW w:w="9104" w:type="dxa"/>
          </w:tcPr>
          <w:p w:rsidR="00BF53CF" w:rsidRPr="000325CF" w:rsidRDefault="00BF53CF" w:rsidP="00DF4AF3">
            <w:pPr>
              <w:spacing w:after="0"/>
              <w:jc w:val="center"/>
            </w:pPr>
            <w:r>
              <w:rPr>
                <w:b/>
                <w:bCs/>
                <w:sz w:val="24"/>
              </w:rPr>
              <w:t>WSKAZANIA DLA RZĄDU</w:t>
            </w:r>
          </w:p>
        </w:tc>
      </w:tr>
      <w:tr w:rsidR="00BF53CF" w:rsidRPr="00A25584" w:rsidTr="00DF4AF3">
        <w:trPr>
          <w:trHeight w:val="1266"/>
        </w:trPr>
        <w:tc>
          <w:tcPr>
            <w:tcW w:w="9104" w:type="dxa"/>
          </w:tcPr>
          <w:p w:rsidR="00BF53CF" w:rsidRPr="007332F7" w:rsidRDefault="00BF53CF" w:rsidP="00D253E8">
            <w:pPr>
              <w:spacing w:after="0" w:line="312" w:lineRule="auto"/>
              <w:jc w:val="both"/>
              <w:rPr>
                <w:rFonts w:ascii="Arial" w:hAnsi="Arial" w:cs="Arial"/>
                <w:sz w:val="20"/>
              </w:rPr>
            </w:pPr>
          </w:p>
          <w:p w:rsidR="00326C57" w:rsidRPr="00326C57" w:rsidRDefault="00326C57" w:rsidP="00D253E8">
            <w:pPr>
              <w:pStyle w:val="Akapitzlist"/>
              <w:numPr>
                <w:ilvl w:val="0"/>
                <w:numId w:val="15"/>
              </w:numPr>
              <w:spacing w:after="0" w:line="312" w:lineRule="auto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D253E8">
              <w:rPr>
                <w:rFonts w:ascii="Arial" w:hAnsi="Arial" w:cs="Arial"/>
                <w:b/>
                <w:sz w:val="18"/>
              </w:rPr>
              <w:t>Należy ograniczyć podatek od niektórych instytucji finansowych albo zawiesić lub zmienić niektóre jego elementy, które uderzają w klientów</w:t>
            </w:r>
            <w:r w:rsidRPr="00326C57">
              <w:rPr>
                <w:rFonts w:ascii="Arial" w:hAnsi="Arial" w:cs="Arial"/>
                <w:sz w:val="18"/>
              </w:rPr>
              <w:t xml:space="preserve"> (jak np. znaczna wysokość podatku na tle innych państw UE, podstawa opodatkowania, podwójne opodatkowanie podmiotów takich jak instytucje pożyczkowe). Wskutek kryzysu ryzyko kredytowe znacząco wzrosło. Z tego względu banki zaostrzają kryteria udzielania kredytów, co może skutkować pogorszeniem sytuacji finansowej ich klientów. Dodatkowe trudności w uzyskaniu kredytów mogą mieć katastrofalne skutki dla wielu przedsiębiorców. Choć środki pomocowe przewidziane w tarczach antykryzysowych stanowią dla przedsiębiorców niezbędne wsparcie w dobie kryzysu, to nigdy nie będą mogły stanowić podstawowego źródła finansowania działalności gospodarczej.</w:t>
            </w:r>
          </w:p>
          <w:p w:rsidR="00326C57" w:rsidRPr="00D253E8" w:rsidRDefault="00326C57" w:rsidP="00D253E8">
            <w:pPr>
              <w:pStyle w:val="Akapitzlist"/>
              <w:spacing w:after="0" w:line="312" w:lineRule="auto"/>
              <w:ind w:left="0"/>
              <w:contextualSpacing/>
              <w:jc w:val="both"/>
              <w:rPr>
                <w:rFonts w:ascii="Arial" w:hAnsi="Arial" w:cs="Arial"/>
                <w:sz w:val="18"/>
              </w:rPr>
            </w:pPr>
          </w:p>
          <w:p w:rsidR="00326C57" w:rsidRPr="00326C57" w:rsidRDefault="00326C57" w:rsidP="00D253E8">
            <w:pPr>
              <w:pStyle w:val="Akapitzlist"/>
              <w:numPr>
                <w:ilvl w:val="0"/>
                <w:numId w:val="15"/>
              </w:numPr>
              <w:spacing w:after="0" w:line="312" w:lineRule="auto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ED3928">
              <w:rPr>
                <w:rFonts w:ascii="Arial" w:hAnsi="Arial" w:cs="Arial"/>
                <w:b/>
                <w:sz w:val="18"/>
              </w:rPr>
              <w:t>Należy zrezygnować z podniesienia płacy minimalnej do poziomu 2800 zł w 2021 roku</w:t>
            </w:r>
            <w:r w:rsidRPr="00326C57">
              <w:rPr>
                <w:rFonts w:ascii="Arial" w:hAnsi="Arial" w:cs="Arial"/>
                <w:sz w:val="18"/>
              </w:rPr>
              <w:t>. Podczas gdy wzrost płacy minimalnej w 2020 roku do poziomu 2600 zł był argumentowany „utrzymującą się dobrą koniunkturą gospodarczą”,</w:t>
            </w:r>
            <w:r w:rsidR="00ED3928">
              <w:rPr>
                <w:rFonts w:ascii="Arial" w:hAnsi="Arial" w:cs="Arial"/>
                <w:sz w:val="18"/>
              </w:rPr>
              <w:t xml:space="preserve"> to </w:t>
            </w:r>
            <w:r w:rsidRPr="00326C57">
              <w:rPr>
                <w:rFonts w:ascii="Arial" w:hAnsi="Arial" w:cs="Arial"/>
                <w:sz w:val="18"/>
              </w:rPr>
              <w:t xml:space="preserve">jednak </w:t>
            </w:r>
            <w:r w:rsidR="00ED3928">
              <w:rPr>
                <w:rFonts w:ascii="Arial" w:hAnsi="Arial" w:cs="Arial"/>
                <w:sz w:val="18"/>
              </w:rPr>
              <w:t xml:space="preserve">obecnie </w:t>
            </w:r>
            <w:r w:rsidRPr="00326C57">
              <w:rPr>
                <w:rFonts w:ascii="Arial" w:hAnsi="Arial" w:cs="Arial"/>
                <w:sz w:val="18"/>
              </w:rPr>
              <w:t>podobna argumentacja byłaby bezpodstawna. Planowany wzrost płacy minimalnej doprowadzi do wzrostu kosztów zatrudnienia pracownika i będzie prowadził do pogłębiania się „szarej strefy” i wzrostu bezrobocia, tym samym zmniejszając dochody państwa m.in. z PIT.</w:t>
            </w:r>
          </w:p>
          <w:p w:rsidR="00326C57" w:rsidRPr="00326C57" w:rsidRDefault="00326C57" w:rsidP="00D253E8">
            <w:pPr>
              <w:pStyle w:val="Akapitzlist"/>
              <w:spacing w:after="0" w:line="312" w:lineRule="auto"/>
              <w:ind w:left="0"/>
              <w:contextualSpacing/>
              <w:jc w:val="both"/>
              <w:rPr>
                <w:rFonts w:ascii="Arial" w:hAnsi="Arial" w:cs="Arial"/>
                <w:sz w:val="18"/>
              </w:rPr>
            </w:pPr>
          </w:p>
          <w:p w:rsidR="007332F7" w:rsidRDefault="00326C57" w:rsidP="00D253E8">
            <w:pPr>
              <w:pStyle w:val="Akapitzlist"/>
              <w:numPr>
                <w:ilvl w:val="0"/>
                <w:numId w:val="15"/>
              </w:numPr>
              <w:spacing w:after="0" w:line="312" w:lineRule="auto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ED3928">
              <w:rPr>
                <w:rFonts w:ascii="Arial" w:hAnsi="Arial" w:cs="Arial"/>
                <w:b/>
                <w:sz w:val="18"/>
              </w:rPr>
              <w:t>Należy zmienić kryterium spadku obrotów, które w obecnym kształcie nie spełnia swojej prewencyjnej roli.</w:t>
            </w:r>
            <w:r w:rsidRPr="00326C57">
              <w:rPr>
                <w:rFonts w:ascii="Arial" w:hAnsi="Arial" w:cs="Arial"/>
                <w:sz w:val="18"/>
              </w:rPr>
              <w:t xml:space="preserve"> </w:t>
            </w:r>
            <w:r w:rsidR="00ED3928">
              <w:rPr>
                <w:rFonts w:ascii="Arial" w:hAnsi="Arial" w:cs="Arial"/>
                <w:sz w:val="18"/>
              </w:rPr>
              <w:t>Powinno się u</w:t>
            </w:r>
            <w:r w:rsidRPr="00326C57">
              <w:rPr>
                <w:rFonts w:ascii="Arial" w:hAnsi="Arial" w:cs="Arial"/>
                <w:sz w:val="18"/>
              </w:rPr>
              <w:t>zależnić procentową wysokość spadku obrotów od wielkości przedsiębiorstwa. W obecnym kształcie, 25% spadek obrotów skutkowałby zamknięciem przedsiębiorstw</w:t>
            </w:r>
            <w:r w:rsidR="00ED3928">
              <w:rPr>
                <w:rFonts w:ascii="Arial" w:hAnsi="Arial" w:cs="Arial"/>
                <w:sz w:val="18"/>
              </w:rPr>
              <w:t>a po czterech miesiącach. Firmy</w:t>
            </w:r>
            <w:r w:rsidRPr="00326C57">
              <w:rPr>
                <w:rFonts w:ascii="Arial" w:hAnsi="Arial" w:cs="Arial"/>
                <w:sz w:val="18"/>
              </w:rPr>
              <w:t xml:space="preserve"> nie mogą </w:t>
            </w:r>
            <w:r w:rsidR="00ED3928">
              <w:rPr>
                <w:rFonts w:ascii="Arial" w:hAnsi="Arial" w:cs="Arial"/>
                <w:sz w:val="18"/>
              </w:rPr>
              <w:t xml:space="preserve">dzisiaj </w:t>
            </w:r>
            <w:r w:rsidRPr="00326C57">
              <w:rPr>
                <w:rFonts w:ascii="Arial" w:hAnsi="Arial" w:cs="Arial"/>
                <w:sz w:val="18"/>
              </w:rPr>
              <w:t>pozwolić</w:t>
            </w:r>
            <w:r w:rsidR="00ED3928">
              <w:rPr>
                <w:rFonts w:ascii="Arial" w:hAnsi="Arial" w:cs="Arial"/>
                <w:sz w:val="18"/>
              </w:rPr>
              <w:t xml:space="preserve"> sobie</w:t>
            </w:r>
            <w:r w:rsidRPr="00326C57">
              <w:rPr>
                <w:rFonts w:ascii="Arial" w:hAnsi="Arial" w:cs="Arial"/>
                <w:sz w:val="18"/>
              </w:rPr>
              <w:t xml:space="preserve"> na tak niekorzystne wyniki finansowe, z tego względu redukują koszty prowadzenia działalności zwalniając pracowników.</w:t>
            </w:r>
          </w:p>
          <w:p w:rsidR="00326C57" w:rsidRPr="00326C57" w:rsidRDefault="00326C57" w:rsidP="00326C57">
            <w:pPr>
              <w:pStyle w:val="Akapitzlist"/>
              <w:spacing w:after="0" w:line="312" w:lineRule="auto"/>
              <w:ind w:left="36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C31928" w:rsidRDefault="00C31928" w:rsidP="00BF53CF">
      <w:pPr>
        <w:spacing w:after="0"/>
        <w:rPr>
          <w:sz w:val="18"/>
          <w:szCs w:val="16"/>
        </w:rPr>
      </w:pPr>
    </w:p>
    <w:p w:rsidR="0035770C" w:rsidRDefault="0035770C" w:rsidP="00BF53CF">
      <w:pPr>
        <w:spacing w:after="0"/>
        <w:rPr>
          <w:sz w:val="18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4"/>
      </w:tblGrid>
      <w:tr w:rsidR="00BF53CF" w:rsidRPr="00FA53AC" w:rsidTr="00DF4AF3">
        <w:tc>
          <w:tcPr>
            <w:tcW w:w="9104" w:type="dxa"/>
          </w:tcPr>
          <w:p w:rsidR="00BF53CF" w:rsidRPr="00FA53AC" w:rsidRDefault="00BF53CF" w:rsidP="00DF4AF3">
            <w:pPr>
              <w:spacing w:after="0" w:line="312" w:lineRule="auto"/>
              <w:jc w:val="center"/>
              <w:rPr>
                <w:b/>
              </w:rPr>
            </w:pPr>
            <w:r w:rsidRPr="00FA53AC">
              <w:rPr>
                <w:b/>
              </w:rPr>
              <w:t>PODSUMOWANIE dotychczasowych działań rządu</w:t>
            </w:r>
          </w:p>
        </w:tc>
      </w:tr>
      <w:tr w:rsidR="00BF53CF" w:rsidRPr="008E12F1" w:rsidTr="00DF4AF3">
        <w:trPr>
          <w:trHeight w:val="416"/>
        </w:trPr>
        <w:tc>
          <w:tcPr>
            <w:tcW w:w="9104" w:type="dxa"/>
          </w:tcPr>
          <w:p w:rsidR="00BF53CF" w:rsidRDefault="00BF53CF" w:rsidP="00DF4AF3">
            <w:pPr>
              <w:spacing w:after="0" w:line="312" w:lineRule="auto"/>
              <w:jc w:val="both"/>
              <w:rPr>
                <w:bCs/>
              </w:rPr>
            </w:pPr>
          </w:p>
          <w:p w:rsidR="00BF53CF" w:rsidRPr="00D253E8" w:rsidRDefault="00BF53CF" w:rsidP="007332F7">
            <w:pPr>
              <w:spacing w:after="0" w:line="312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D253E8">
              <w:rPr>
                <w:rFonts w:ascii="Arial" w:hAnsi="Arial" w:cs="Arial"/>
                <w:b/>
                <w:sz w:val="20"/>
                <w:szCs w:val="18"/>
              </w:rPr>
              <w:t>Pozytywy:</w:t>
            </w:r>
          </w:p>
          <w:p w:rsidR="00BF53CF" w:rsidRPr="00D253E8" w:rsidRDefault="00BF53CF" w:rsidP="00D253E8">
            <w:pPr>
              <w:spacing w:after="0" w:line="312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26C57" w:rsidRDefault="00326C57" w:rsidP="00D253E8">
            <w:pPr>
              <w:pStyle w:val="Akapitzlist"/>
              <w:numPr>
                <w:ilvl w:val="0"/>
                <w:numId w:val="16"/>
              </w:numPr>
              <w:spacing w:after="0" w:line="312" w:lineRule="auto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D253E8">
              <w:rPr>
                <w:rFonts w:ascii="Arial" w:hAnsi="Arial" w:cs="Arial"/>
                <w:b/>
                <w:bCs/>
                <w:sz w:val="18"/>
                <w:szCs w:val="18"/>
              </w:rPr>
              <w:t>Zwolnienie z podatku minimalnego od nieruchomości komercyjnych za okres od 1 marca 2020 r. do 31 grudnia 2020 r.</w:t>
            </w:r>
            <w:r w:rsidRPr="00D253E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Przepisy dotyczące zwolnienia z podatku minimalnego od nieruchomości komercyjnych zostały wprowadzone pod koniec procesu legislacyjnego tarczy antykryzysowej 4.0. To szczególnie istotne, ponieważ branża nieruchomości komercyjnych i deweloperzy nieruchomościowi zostali wykluczeni z rozwiązań tarczy finansowej Polskiego Funduszu Rozwoju dla dużych firm.</w:t>
            </w:r>
            <w:r w:rsidR="00ED392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253E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Zgodnie z nowymi regulacjami, podmioty mające nieruchomości komercyjne będą mogły występować o zwrot nadwyżki zapłaconego podatku minimalnego nad zaliczkami na podatek dochodowy CIT za okres od marca do maja 2020 r.</w:t>
            </w:r>
          </w:p>
          <w:p w:rsidR="00D253E8" w:rsidRPr="00D253E8" w:rsidRDefault="00D253E8" w:rsidP="00D253E8">
            <w:pPr>
              <w:pStyle w:val="Akapitzlist"/>
              <w:spacing w:after="0" w:line="312" w:lineRule="auto"/>
              <w:ind w:left="0"/>
              <w:contextualSpacing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26C57" w:rsidRPr="00D253E8" w:rsidRDefault="00326C57" w:rsidP="00D253E8">
            <w:pPr>
              <w:pStyle w:val="Akapitzlist"/>
              <w:numPr>
                <w:ilvl w:val="0"/>
                <w:numId w:val="16"/>
              </w:numPr>
              <w:spacing w:after="0" w:line="312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53E8">
              <w:rPr>
                <w:rFonts w:ascii="Arial" w:hAnsi="Arial" w:cs="Arial"/>
                <w:b/>
                <w:bCs/>
                <w:sz w:val="18"/>
                <w:szCs w:val="18"/>
              </w:rPr>
              <w:t>Projekt nowelizacji ustawy o podatku od towarów i usług</w:t>
            </w:r>
            <w:r w:rsidRPr="00D253E8">
              <w:rPr>
                <w:rFonts w:ascii="Arial" w:hAnsi="Arial" w:cs="Arial"/>
                <w:sz w:val="18"/>
                <w:szCs w:val="18"/>
              </w:rPr>
              <w:t>. Mając na uwadze, iż nasz system podatkowy zalicza się do najbardziej skomplikowanych w Unii Europejskiej należy pozytywnie oceniać uproszczenia w rozliczeniach VAT. Pakiet Slim VAT zakłada wiele uproszczeń dla podatników m.in.</w:t>
            </w:r>
            <w:r w:rsidR="00D253E8" w:rsidRPr="00D253E8">
              <w:rPr>
                <w:rFonts w:ascii="Arial" w:hAnsi="Arial" w:cs="Arial"/>
                <w:sz w:val="18"/>
                <w:szCs w:val="18"/>
              </w:rPr>
              <w:t xml:space="preserve"> wydłużenie z 2 do 6 miesięcy terminu na wywóz towarów dla zachowania stawki 0 proc. przy </w:t>
            </w:r>
            <w:r w:rsidR="00D253E8" w:rsidRPr="00D253E8">
              <w:rPr>
                <w:rFonts w:ascii="Arial" w:hAnsi="Arial" w:cs="Arial"/>
                <w:sz w:val="18"/>
                <w:szCs w:val="18"/>
              </w:rPr>
              <w:lastRenderedPageBreak/>
              <w:t>opodatkowaniu zaliczek z tytułu eksportu towarów oraz wydłużenie czasu do odliczenia VAT naliczonego na bieżąco łącznie do 4 okresów rozliczeniowych, a w przypadku podatników rozliczających się kwartalnie</w:t>
            </w:r>
            <w:r w:rsidR="00ED392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D253E8" w:rsidRPr="00D253E8">
              <w:rPr>
                <w:rFonts w:ascii="Arial" w:hAnsi="Arial" w:cs="Arial"/>
                <w:sz w:val="18"/>
                <w:szCs w:val="18"/>
              </w:rPr>
              <w:t>odliczanie na dotychczasowych zasadach, tj. do 3 okresów rozliczeniowych. Znaczącym ułatwieniem jest również zniesienie obowiązku zbierania przez podatników potwierdzeń otrzymania przez kontrahentów faktur korygujących in minus.</w:t>
            </w:r>
            <w:r w:rsidRPr="00D253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31928" w:rsidRDefault="00C31928" w:rsidP="00AB251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253E8" w:rsidRPr="00D253E8" w:rsidRDefault="00D253E8" w:rsidP="00AB251D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F53CF" w:rsidRPr="00D253E8" w:rsidRDefault="00BF53CF" w:rsidP="00DF4AF3">
            <w:pPr>
              <w:spacing w:after="0" w:line="312" w:lineRule="auto"/>
              <w:jc w:val="both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D253E8">
              <w:rPr>
                <w:rFonts w:ascii="Arial" w:hAnsi="Arial" w:cs="Arial"/>
                <w:b/>
                <w:bCs/>
                <w:sz w:val="20"/>
                <w:szCs w:val="18"/>
              </w:rPr>
              <w:t>Zagrożenia:</w:t>
            </w:r>
          </w:p>
          <w:p w:rsidR="00326C57" w:rsidRPr="00D253E8" w:rsidRDefault="00326C57" w:rsidP="00326C57">
            <w:pPr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26C57" w:rsidRPr="00D253E8" w:rsidRDefault="00326C57" w:rsidP="00D253E8">
            <w:pPr>
              <w:pStyle w:val="Akapitzlist"/>
              <w:numPr>
                <w:ilvl w:val="0"/>
                <w:numId w:val="14"/>
              </w:numPr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3928">
              <w:rPr>
                <w:rFonts w:ascii="Arial" w:hAnsi="Arial" w:cs="Arial"/>
                <w:b/>
                <w:sz w:val="18"/>
                <w:szCs w:val="18"/>
              </w:rPr>
              <w:t>Niejasne i skomplikowane przepisy dotyczące umorzenia subwencji</w:t>
            </w:r>
            <w:r w:rsidRPr="00D253E8">
              <w:rPr>
                <w:rFonts w:ascii="Arial" w:hAnsi="Arial" w:cs="Arial"/>
                <w:sz w:val="18"/>
                <w:szCs w:val="18"/>
              </w:rPr>
              <w:t xml:space="preserve"> udzielanej mikro, małym i średnim przedsiębiorcom w ramach Tarczy Finansowej obsługiwanej przez Polski Fundusz Rozwoju.</w:t>
            </w:r>
          </w:p>
          <w:p w:rsidR="00326C57" w:rsidRPr="00D253E8" w:rsidRDefault="00326C57" w:rsidP="00D253E8">
            <w:pPr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26C57" w:rsidRPr="00D253E8" w:rsidRDefault="00326C57" w:rsidP="00D253E8">
            <w:pPr>
              <w:pStyle w:val="Akapitzlist"/>
              <w:numPr>
                <w:ilvl w:val="0"/>
                <w:numId w:val="14"/>
              </w:numPr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3928">
              <w:rPr>
                <w:rFonts w:ascii="Arial" w:hAnsi="Arial" w:cs="Arial"/>
                <w:b/>
                <w:sz w:val="18"/>
                <w:szCs w:val="18"/>
              </w:rPr>
              <w:t>Brak zwolnienia od obowiązku opodatkowania umorzonej kwoty subwencji</w:t>
            </w:r>
            <w:r w:rsidRPr="00D253E8">
              <w:rPr>
                <w:rFonts w:ascii="Arial" w:hAnsi="Arial" w:cs="Arial"/>
                <w:sz w:val="18"/>
                <w:szCs w:val="18"/>
              </w:rPr>
              <w:t>. Pozytywne rozpatrzenie wniosku o umorzenie subwencji skutkuje powstaniem przychodu podatkowego, od którego trzeba będzie zapłacić podatek.</w:t>
            </w:r>
          </w:p>
          <w:p w:rsidR="00326C57" w:rsidRPr="00D253E8" w:rsidRDefault="00326C57" w:rsidP="00D253E8">
            <w:pPr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53E8" w:rsidRPr="00951B48" w:rsidRDefault="00951B48" w:rsidP="00951B48">
            <w:pPr>
              <w:pStyle w:val="Akapitzlist"/>
              <w:numPr>
                <w:ilvl w:val="0"/>
                <w:numId w:val="14"/>
              </w:numPr>
              <w:spacing w:after="0" w:line="31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B48">
              <w:rPr>
                <w:rFonts w:ascii="Arial" w:hAnsi="Arial" w:cs="Arial"/>
                <w:b/>
                <w:sz w:val="18"/>
                <w:szCs w:val="18"/>
              </w:rPr>
              <w:t>Przedsiębiorcy nie zdążą dostosować się do nowych przepisów zawart</w:t>
            </w:r>
            <w:r>
              <w:rPr>
                <w:rFonts w:ascii="Arial" w:hAnsi="Arial" w:cs="Arial"/>
                <w:b/>
                <w:sz w:val="18"/>
                <w:szCs w:val="18"/>
              </w:rPr>
              <w:t>ych</w:t>
            </w:r>
            <w:r w:rsidRPr="00951B48">
              <w:rPr>
                <w:rFonts w:ascii="Arial" w:hAnsi="Arial" w:cs="Arial"/>
                <w:b/>
                <w:sz w:val="18"/>
                <w:szCs w:val="18"/>
              </w:rPr>
              <w:t xml:space="preserve"> w projekcie ustawy Prawo komunikacji elektronicznej</w:t>
            </w:r>
            <w:r w:rsidRPr="00951B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1B48">
              <w:rPr>
                <w:rFonts w:ascii="Arial" w:hAnsi="Arial" w:cs="Arial"/>
                <w:b/>
                <w:sz w:val="18"/>
                <w:szCs w:val="18"/>
              </w:rPr>
              <w:t>do 21 grudnia br. Trudno robić to w oparciu o projekt ustawy.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951B48">
              <w:rPr>
                <w:rFonts w:ascii="Arial" w:hAnsi="Arial" w:cs="Arial"/>
                <w:sz w:val="18"/>
                <w:szCs w:val="18"/>
              </w:rPr>
              <w:t>owinny</w:t>
            </w:r>
            <w:r>
              <w:rPr>
                <w:rFonts w:ascii="Arial" w:hAnsi="Arial" w:cs="Arial"/>
                <w:sz w:val="18"/>
                <w:szCs w:val="18"/>
              </w:rPr>
              <w:t xml:space="preserve"> one</w:t>
            </w:r>
            <w:r w:rsidRPr="00951B48">
              <w:rPr>
                <w:rFonts w:ascii="Arial" w:hAnsi="Arial" w:cs="Arial"/>
                <w:sz w:val="18"/>
                <w:szCs w:val="18"/>
              </w:rPr>
              <w:t xml:space="preserve"> wejść w życie po 9 miesiącach od dnia publikacji ustawy.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6C57" w:rsidRPr="00D253E8">
              <w:rPr>
                <w:rFonts w:ascii="Arial" w:hAnsi="Arial" w:cs="Arial"/>
                <w:sz w:val="18"/>
                <w:szCs w:val="18"/>
              </w:rPr>
              <w:t>Dłuższe vacatio legis pozwoli firmom działającym w sektorze komunikacji elektronicznej, w tym telekomunikacyjnym, na dostosowanie się do nowych regulacji. Niepokój przedsiębiorców budzi możliwość ingerencji w umowy już zawarte z abonentami, wprowadzenie formy dokumentowej przy zawieraniu umów, a także nadmierna regulacja dotycząca usługi dodatkowego obciążania rachunku.</w:t>
            </w:r>
          </w:p>
        </w:tc>
      </w:tr>
    </w:tbl>
    <w:p w:rsidR="00C31928" w:rsidRPr="00AF251C" w:rsidRDefault="00C31928" w:rsidP="00BF53CF">
      <w:pPr>
        <w:spacing w:after="0" w:line="100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:rsidR="00951B48" w:rsidRDefault="00951B48" w:rsidP="00BF53CF">
      <w:pPr>
        <w:spacing w:after="0" w:line="100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:rsidR="0035770C" w:rsidRDefault="0035770C" w:rsidP="00BF53CF">
      <w:pPr>
        <w:spacing w:after="0" w:line="100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:rsidR="00BF53CF" w:rsidRPr="00AF251C" w:rsidRDefault="00BF53CF" w:rsidP="00BF53CF">
      <w:pPr>
        <w:spacing w:after="0" w:line="100" w:lineRule="atLeast"/>
        <w:jc w:val="both"/>
        <w:rPr>
          <w:rFonts w:ascii="Arial" w:hAnsi="Arial" w:cs="Arial"/>
          <w:sz w:val="18"/>
          <w:szCs w:val="18"/>
          <w:u w:val="single"/>
        </w:rPr>
      </w:pPr>
      <w:r w:rsidRPr="00AF251C">
        <w:rPr>
          <w:rFonts w:ascii="Arial" w:hAnsi="Arial" w:cs="Arial"/>
          <w:sz w:val="18"/>
          <w:szCs w:val="18"/>
          <w:u w:val="single"/>
        </w:rPr>
        <w:t>Kontakt dla mediów:</w:t>
      </w:r>
    </w:p>
    <w:p w:rsidR="00BF53CF" w:rsidRPr="00AF251C" w:rsidRDefault="00BF53CF" w:rsidP="00BF53CF">
      <w:pPr>
        <w:spacing w:after="0" w:line="100" w:lineRule="atLeast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BF53CF" w:rsidRPr="00AF251C" w:rsidRDefault="00BF53CF" w:rsidP="00BF53CF">
      <w:pPr>
        <w:suppressAutoHyphens/>
        <w:spacing w:after="0" w:line="100" w:lineRule="atLeast"/>
        <w:rPr>
          <w:rFonts w:ascii="Arial" w:eastAsia="Arial Unicode MS" w:hAnsi="Arial" w:cs="Arial"/>
          <w:b/>
          <w:bCs/>
          <w:sz w:val="18"/>
          <w:szCs w:val="18"/>
          <w:lang w:eastAsia="ar-SA"/>
        </w:rPr>
      </w:pPr>
      <w:r w:rsidRPr="00AF251C">
        <w:rPr>
          <w:rFonts w:ascii="Arial" w:eastAsia="Arial Unicode MS" w:hAnsi="Arial" w:cs="Arial"/>
          <w:b/>
          <w:bCs/>
          <w:sz w:val="18"/>
          <w:szCs w:val="18"/>
          <w:lang w:eastAsia="ar-SA"/>
        </w:rPr>
        <w:t>Emil Muciński</w:t>
      </w:r>
    </w:p>
    <w:p w:rsidR="00BF53CF" w:rsidRPr="00AF251C" w:rsidRDefault="00BF53CF" w:rsidP="00BF53CF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eastAsia="ar-SA"/>
        </w:rPr>
      </w:pPr>
      <w:r w:rsidRPr="00AF251C">
        <w:rPr>
          <w:rFonts w:ascii="Arial" w:eastAsia="Arial Unicode MS" w:hAnsi="Arial" w:cs="Arial"/>
          <w:sz w:val="18"/>
          <w:szCs w:val="18"/>
          <w:lang w:eastAsia="ar-SA"/>
        </w:rPr>
        <w:t>rzecznik, Instytut Interwencji Gospodarczych BCC</w:t>
      </w:r>
    </w:p>
    <w:p w:rsidR="00BF53CF" w:rsidRPr="00AF251C" w:rsidRDefault="00BF53CF" w:rsidP="00BF53CF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val="en-US" w:eastAsia="ar-SA"/>
        </w:rPr>
      </w:pPr>
      <w:r w:rsidRPr="00AF251C">
        <w:rPr>
          <w:rFonts w:ascii="Arial" w:eastAsia="Arial Unicode MS" w:hAnsi="Arial" w:cs="Arial"/>
          <w:sz w:val="18"/>
          <w:szCs w:val="18"/>
          <w:lang w:val="en-US" w:eastAsia="ar-SA"/>
        </w:rPr>
        <w:t>tel. 602 571 395</w:t>
      </w:r>
    </w:p>
    <w:p w:rsidR="00BF53CF" w:rsidRDefault="00BF53CF" w:rsidP="00BF53CF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  <w:r w:rsidRPr="00AF251C">
        <w:rPr>
          <w:rFonts w:ascii="Arial" w:eastAsia="Arial Unicode MS" w:hAnsi="Arial" w:cs="Arial"/>
          <w:sz w:val="18"/>
          <w:szCs w:val="18"/>
          <w:lang w:val="en-US" w:eastAsia="ar-SA"/>
        </w:rPr>
        <w:t xml:space="preserve">e-mail: </w:t>
      </w:r>
      <w:hyperlink r:id="rId11" w:history="1">
        <w:r w:rsidRPr="00AF251C">
          <w:rPr>
            <w:rFonts w:ascii="Arial" w:eastAsia="Arial Unicode MS" w:hAnsi="Arial" w:cs="Arial"/>
            <w:color w:val="146CB4"/>
            <w:sz w:val="18"/>
            <w:szCs w:val="18"/>
            <w:lang w:val="en-US" w:eastAsia="ar-SA"/>
          </w:rPr>
          <w:t>emil.mucinski@bcc.org.pl</w:t>
        </w:r>
      </w:hyperlink>
      <w:r w:rsidRPr="00AF251C">
        <w:rPr>
          <w:rFonts w:ascii="Arial" w:eastAsia="Arial Unicode MS" w:hAnsi="Arial" w:cs="Arial"/>
          <w:sz w:val="18"/>
          <w:szCs w:val="18"/>
          <w:lang w:val="en-US" w:eastAsia="ar-SA"/>
        </w:rPr>
        <w:t xml:space="preserve">; </w:t>
      </w:r>
      <w:hyperlink r:id="rId12" w:history="1">
        <w:r w:rsidRPr="00AF251C">
          <w:rPr>
            <w:rFonts w:ascii="Arial" w:eastAsia="Arial Unicode MS" w:hAnsi="Arial" w:cs="Arial"/>
            <w:color w:val="146CB4"/>
            <w:sz w:val="18"/>
            <w:szCs w:val="18"/>
            <w:lang w:val="en-US" w:eastAsia="ar-SA"/>
          </w:rPr>
          <w:t>instytut@bcc.org.pl</w:t>
        </w:r>
      </w:hyperlink>
    </w:p>
    <w:p w:rsidR="00F36E35" w:rsidRPr="00AF251C" w:rsidRDefault="00F36E35" w:rsidP="00BF53CF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  <w:bookmarkStart w:id="0" w:name="_GoBack"/>
      <w:bookmarkEnd w:id="0"/>
    </w:p>
    <w:p w:rsidR="00BF53CF" w:rsidRPr="00E277B3" w:rsidRDefault="00BF53CF" w:rsidP="00BF53CF">
      <w:pPr>
        <w:spacing w:after="0" w:line="240" w:lineRule="auto"/>
        <w:jc w:val="both"/>
        <w:rPr>
          <w:b/>
          <w:sz w:val="14"/>
          <w:szCs w:val="28"/>
        </w:rPr>
      </w:pPr>
    </w:p>
    <w:p w:rsidR="00F95371" w:rsidRPr="00BF53CF" w:rsidRDefault="00BF53CF" w:rsidP="00BF53CF">
      <w:pPr>
        <w:pBdr>
          <w:top w:val="single" w:sz="2" w:space="6" w:color="C00000"/>
        </w:pBdr>
        <w:spacing w:after="0" w:line="240" w:lineRule="auto"/>
        <w:jc w:val="both"/>
        <w:rPr>
          <w:rFonts w:cs="Calibri"/>
          <w:i/>
          <w:color w:val="808080"/>
          <w:sz w:val="14"/>
          <w:szCs w:val="16"/>
        </w:rPr>
      </w:pPr>
      <w:r w:rsidRPr="00303D9E">
        <w:rPr>
          <w:rFonts w:cs="Calibri"/>
          <w:b/>
          <w:i/>
          <w:color w:val="808080"/>
          <w:sz w:val="14"/>
          <w:szCs w:val="16"/>
        </w:rPr>
        <w:t>Gospodarczy Gabinet Cieni Business Centre Club</w:t>
      </w:r>
      <w:r w:rsidRPr="00303D9E">
        <w:rPr>
          <w:rFonts w:cs="Calibri"/>
          <w:i/>
          <w:color w:val="808080"/>
          <w:sz w:val="14"/>
          <w:szCs w:val="16"/>
        </w:rPr>
        <w:t xml:space="preserve"> to think tank powołany w kwietniu 2012 r., aby wspierać działania prorozwojowe władz publicznych, monitorować prace resortów kluczowych dla przedsiębiorczości, rekomendować zmiany sprzyjające rozwojowi kraju, wzrostowi gospodarczemu i konkurencyjności polskich firm. W skład GGC BCC wchodzą wybitni gospodarczy fachowcy, z których wielu piastowało w przeszłości funkcje publiczne [lista poniżej]. Więcej informacji: </w:t>
      </w:r>
      <w:hyperlink r:id="rId13" w:history="1">
        <w:r w:rsidRPr="00303D9E">
          <w:rPr>
            <w:rStyle w:val="Hipercze"/>
            <w:rFonts w:cs="Calibri"/>
            <w:i/>
            <w:sz w:val="14"/>
            <w:szCs w:val="16"/>
          </w:rPr>
          <w:t>http://www.bcc.org.pl/Gospodarczy-Gabinet-Cieni.4241.0.html</w:t>
        </w:r>
      </w:hyperlink>
    </w:p>
    <w:sectPr w:rsidR="00F95371" w:rsidRPr="00BF53CF" w:rsidSect="00AF251C">
      <w:footerReference w:type="default" r:id="rId14"/>
      <w:pgSz w:w="11906" w:h="16838"/>
      <w:pgMar w:top="1135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942" w:rsidRDefault="00675942">
      <w:pPr>
        <w:spacing w:after="0" w:line="240" w:lineRule="auto"/>
      </w:pPr>
      <w:r>
        <w:separator/>
      </w:r>
    </w:p>
  </w:endnote>
  <w:endnote w:type="continuationSeparator" w:id="1">
    <w:p w:rsidR="00675942" w:rsidRDefault="0067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3A4" w:rsidRPr="009B7B9C" w:rsidRDefault="00CF3FD2" w:rsidP="0079671E">
    <w:pPr>
      <w:pStyle w:val="Stopka"/>
      <w:rPr>
        <w:sz w:val="18"/>
      </w:rPr>
    </w:pPr>
    <w:r>
      <w:rPr>
        <w:sz w:val="16"/>
        <w:szCs w:val="18"/>
      </w:rPr>
      <w:t>Gospodarczy Gabinet Cieni BCC – XXXI</w:t>
    </w:r>
    <w:r w:rsidR="007332F7">
      <w:rPr>
        <w:sz w:val="16"/>
        <w:szCs w:val="18"/>
      </w:rPr>
      <w:t>VRaport kwartalny – 1</w:t>
    </w:r>
    <w:r w:rsidRPr="009B7B9C">
      <w:rPr>
        <w:sz w:val="16"/>
        <w:szCs w:val="18"/>
      </w:rPr>
      <w:t>.</w:t>
    </w:r>
    <w:r w:rsidR="007332F7">
      <w:rPr>
        <w:sz w:val="16"/>
        <w:szCs w:val="18"/>
      </w:rPr>
      <w:t>10</w:t>
    </w:r>
    <w:r w:rsidRPr="009B7B9C">
      <w:rPr>
        <w:sz w:val="16"/>
        <w:szCs w:val="18"/>
      </w:rPr>
      <w:t>.20</w:t>
    </w:r>
    <w:r>
      <w:rPr>
        <w:sz w:val="16"/>
        <w:szCs w:val="18"/>
      </w:rPr>
      <w:t>20</w:t>
    </w:r>
    <w:r w:rsidRPr="009B7B9C">
      <w:rPr>
        <w:sz w:val="16"/>
        <w:szCs w:val="18"/>
      </w:rPr>
      <w:t xml:space="preserve"> r.</w:t>
    </w:r>
    <w:r>
      <w:rPr>
        <w:sz w:val="16"/>
        <w:szCs w:val="18"/>
      </w:rPr>
      <w:tab/>
    </w:r>
    <w:r>
      <w:rPr>
        <w:sz w:val="18"/>
      </w:rPr>
      <w:tab/>
    </w:r>
    <w:r w:rsidR="00D57256" w:rsidRPr="009B7B9C">
      <w:rPr>
        <w:sz w:val="18"/>
      </w:rPr>
      <w:fldChar w:fldCharType="begin"/>
    </w:r>
    <w:r w:rsidRPr="009B7B9C">
      <w:rPr>
        <w:sz w:val="18"/>
      </w:rPr>
      <w:instrText xml:space="preserve"> PAGE   \* MERGEFORMAT </w:instrText>
    </w:r>
    <w:r w:rsidR="00D57256" w:rsidRPr="009B7B9C">
      <w:rPr>
        <w:sz w:val="18"/>
      </w:rPr>
      <w:fldChar w:fldCharType="separate"/>
    </w:r>
    <w:r w:rsidR="007117F6">
      <w:rPr>
        <w:noProof/>
        <w:sz w:val="18"/>
      </w:rPr>
      <w:t>3</w:t>
    </w:r>
    <w:r w:rsidR="00D57256" w:rsidRPr="009B7B9C">
      <w:rPr>
        <w:sz w:val="18"/>
      </w:rPr>
      <w:fldChar w:fldCharType="end"/>
    </w:r>
  </w:p>
  <w:p w:rsidR="00B453A4" w:rsidRDefault="006759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942" w:rsidRDefault="00675942">
      <w:pPr>
        <w:spacing w:after="0" w:line="240" w:lineRule="auto"/>
      </w:pPr>
      <w:r>
        <w:separator/>
      </w:r>
    </w:p>
  </w:footnote>
  <w:footnote w:type="continuationSeparator" w:id="1">
    <w:p w:rsidR="00675942" w:rsidRDefault="00675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6B3B"/>
    <w:multiLevelType w:val="hybridMultilevel"/>
    <w:tmpl w:val="13F4C20E"/>
    <w:lvl w:ilvl="0" w:tplc="276829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A299D"/>
    <w:multiLevelType w:val="hybridMultilevel"/>
    <w:tmpl w:val="55144D5E"/>
    <w:lvl w:ilvl="0" w:tplc="62BA13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61B84"/>
    <w:multiLevelType w:val="hybridMultilevel"/>
    <w:tmpl w:val="C526F9C8"/>
    <w:lvl w:ilvl="0" w:tplc="11F06C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37516"/>
    <w:multiLevelType w:val="hybridMultilevel"/>
    <w:tmpl w:val="4D8C4666"/>
    <w:lvl w:ilvl="0" w:tplc="CA98E8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B0002"/>
    <w:multiLevelType w:val="hybridMultilevel"/>
    <w:tmpl w:val="C80AB2C2"/>
    <w:lvl w:ilvl="0" w:tplc="5F04AC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A246F"/>
    <w:multiLevelType w:val="hybridMultilevel"/>
    <w:tmpl w:val="F65E1ACE"/>
    <w:lvl w:ilvl="0" w:tplc="CA98E8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903EF"/>
    <w:multiLevelType w:val="hybridMultilevel"/>
    <w:tmpl w:val="1FF6954E"/>
    <w:lvl w:ilvl="0" w:tplc="574455D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C48F8"/>
    <w:multiLevelType w:val="hybridMultilevel"/>
    <w:tmpl w:val="B252867C"/>
    <w:lvl w:ilvl="0" w:tplc="CA98E8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C2BED"/>
    <w:multiLevelType w:val="hybridMultilevel"/>
    <w:tmpl w:val="CD30593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C3714"/>
    <w:multiLevelType w:val="hybridMultilevel"/>
    <w:tmpl w:val="2CDAF9CA"/>
    <w:lvl w:ilvl="0" w:tplc="574455D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59A8"/>
    <w:multiLevelType w:val="hybridMultilevel"/>
    <w:tmpl w:val="743CB7AC"/>
    <w:lvl w:ilvl="0" w:tplc="CA98E8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869D1"/>
    <w:multiLevelType w:val="hybridMultilevel"/>
    <w:tmpl w:val="93908EAA"/>
    <w:lvl w:ilvl="0" w:tplc="936AE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155C76"/>
    <w:multiLevelType w:val="hybridMultilevel"/>
    <w:tmpl w:val="CB367EDA"/>
    <w:lvl w:ilvl="0" w:tplc="276829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A7F21"/>
    <w:multiLevelType w:val="hybridMultilevel"/>
    <w:tmpl w:val="C5A87774"/>
    <w:lvl w:ilvl="0" w:tplc="574455D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C4686"/>
    <w:multiLevelType w:val="hybridMultilevel"/>
    <w:tmpl w:val="544C6AF8"/>
    <w:lvl w:ilvl="0" w:tplc="0AA2424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56652"/>
    <w:multiLevelType w:val="hybridMultilevel"/>
    <w:tmpl w:val="45E023C2"/>
    <w:lvl w:ilvl="0" w:tplc="276829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9"/>
  </w:num>
  <w:num w:numId="5">
    <w:abstractNumId w:val="13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4"/>
  </w:num>
  <w:num w:numId="12">
    <w:abstractNumId w:val="10"/>
  </w:num>
  <w:num w:numId="13">
    <w:abstractNumId w:val="2"/>
  </w:num>
  <w:num w:numId="14">
    <w:abstractNumId w:val="0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3CF"/>
    <w:rsid w:val="0007296A"/>
    <w:rsid w:val="0022471A"/>
    <w:rsid w:val="00296423"/>
    <w:rsid w:val="002A4D0C"/>
    <w:rsid w:val="00310EA0"/>
    <w:rsid w:val="00326A75"/>
    <w:rsid w:val="00326C57"/>
    <w:rsid w:val="0035770C"/>
    <w:rsid w:val="00367ED3"/>
    <w:rsid w:val="003A1C95"/>
    <w:rsid w:val="003B1711"/>
    <w:rsid w:val="00416AEA"/>
    <w:rsid w:val="00434656"/>
    <w:rsid w:val="0058550A"/>
    <w:rsid w:val="00586AB1"/>
    <w:rsid w:val="005E2DDF"/>
    <w:rsid w:val="00675942"/>
    <w:rsid w:val="006872DD"/>
    <w:rsid w:val="007117F6"/>
    <w:rsid w:val="007159F2"/>
    <w:rsid w:val="007332F7"/>
    <w:rsid w:val="007918FE"/>
    <w:rsid w:val="007C0B0C"/>
    <w:rsid w:val="008E4B9F"/>
    <w:rsid w:val="00907462"/>
    <w:rsid w:val="00951B48"/>
    <w:rsid w:val="00A02099"/>
    <w:rsid w:val="00A96517"/>
    <w:rsid w:val="00AB251D"/>
    <w:rsid w:val="00B86E96"/>
    <w:rsid w:val="00B954C8"/>
    <w:rsid w:val="00BF53CF"/>
    <w:rsid w:val="00C01AB4"/>
    <w:rsid w:val="00C31928"/>
    <w:rsid w:val="00CF3FD2"/>
    <w:rsid w:val="00D253E8"/>
    <w:rsid w:val="00D57256"/>
    <w:rsid w:val="00E000A9"/>
    <w:rsid w:val="00E277B3"/>
    <w:rsid w:val="00E967BE"/>
    <w:rsid w:val="00EB3EB3"/>
    <w:rsid w:val="00ED3928"/>
    <w:rsid w:val="00F36E35"/>
    <w:rsid w:val="00F375A4"/>
    <w:rsid w:val="00F8288C"/>
    <w:rsid w:val="00F9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3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F53C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F53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53CF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F53CF"/>
    <w:pPr>
      <w:ind w:left="708"/>
    </w:pPr>
  </w:style>
  <w:style w:type="paragraph" w:styleId="Tekstpodstawowy2">
    <w:name w:val="Body Text 2"/>
    <w:basedOn w:val="Normalny"/>
    <w:link w:val="Tekstpodstawowy2Znak"/>
    <w:semiHidden/>
    <w:rsid w:val="00BF53CF"/>
    <w:pPr>
      <w:spacing w:after="0" w:line="240" w:lineRule="auto"/>
      <w:ind w:firstLine="708"/>
      <w:jc w:val="both"/>
    </w:pPr>
    <w:rPr>
      <w:rFonts w:ascii="Arial" w:eastAsia="Times New Roman" w:hAnsi="Arial"/>
      <w:b/>
      <w:bCs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F53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BF53C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3C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2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51D"/>
    <w:rPr>
      <w:rFonts w:ascii="Calibri" w:eastAsia="Calibri" w:hAnsi="Calibri" w:cs="Times New Roman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32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326C57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26C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3C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F53C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F53C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F53CF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BF53CF"/>
    <w:pPr>
      <w:ind w:left="708"/>
    </w:pPr>
    <w:rPr>
      <w:lang w:val="x-none"/>
    </w:rPr>
  </w:style>
  <w:style w:type="paragraph" w:styleId="Tekstpodstawowy2">
    <w:name w:val="Body Text 2"/>
    <w:basedOn w:val="Normalny"/>
    <w:link w:val="Tekstpodstawowy2Znak"/>
    <w:semiHidden/>
    <w:rsid w:val="00BF53CF"/>
    <w:pPr>
      <w:spacing w:after="0" w:line="240" w:lineRule="auto"/>
      <w:ind w:firstLine="708"/>
      <w:jc w:val="both"/>
    </w:pPr>
    <w:rPr>
      <w:rFonts w:ascii="Arial" w:eastAsia="Times New Roman" w:hAnsi="Arial"/>
      <w:b/>
      <w:bCs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F53CF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BF53CF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3C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2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51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cc.org.pl/Gospodarczy-Gabinet-Cieni.4241.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tytut@bcc.org.p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il.mucinski@bcc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bcc.org.pl/strefa_eksperta/gospodarczy-gabinet-cieni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22E1C-4E9D-45AE-BA56-236F98F3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Muciński</dc:creator>
  <cp:lastModifiedBy>Lenovo</cp:lastModifiedBy>
  <cp:revision>2</cp:revision>
  <cp:lastPrinted>2020-09-16T18:03:00Z</cp:lastPrinted>
  <dcterms:created xsi:type="dcterms:W3CDTF">2020-09-20T18:28:00Z</dcterms:created>
  <dcterms:modified xsi:type="dcterms:W3CDTF">2020-09-20T18:28:00Z</dcterms:modified>
</cp:coreProperties>
</file>