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FA" w:rsidRPr="00C928C8" w:rsidRDefault="003024FA" w:rsidP="003024FA">
      <w:pPr>
        <w:spacing w:after="200" w:line="276" w:lineRule="auto"/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drawing>
          <wp:inline distT="0" distB="0" distL="0" distR="0">
            <wp:extent cx="2733675" cy="1971675"/>
            <wp:effectExtent l="0" t="0" r="9525" b="9525"/>
            <wp:docPr id="1" name="Obraz 1" descr="D:\BCC\BCC - WAŻNE INFORMACJE I LOGO\Logo BCC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CC\BCC - WAŻNE INFORMACJE I LOGO\Logo BCC 2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FA" w:rsidRPr="00FA5A6D" w:rsidRDefault="003024FA" w:rsidP="003024FA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b/>
          <w:bCs/>
          <w:smallCaps/>
          <w:color w:val="003366"/>
          <w:sz w:val="14"/>
          <w:szCs w:val="20"/>
        </w:rPr>
      </w:pPr>
      <w:r w:rsidRPr="00FA5A6D">
        <w:rPr>
          <w:rFonts w:ascii="Arial" w:eastAsia="Times New Roman" w:hAnsi="Arial" w:cs="Arial"/>
          <w:sz w:val="14"/>
          <w:szCs w:val="20"/>
        </w:rPr>
        <w:t xml:space="preserve">Warszawa, </w:t>
      </w:r>
      <w:r w:rsidR="00144F83">
        <w:rPr>
          <w:rFonts w:ascii="Arial" w:eastAsia="Times New Roman" w:hAnsi="Arial" w:cs="Arial"/>
          <w:sz w:val="14"/>
          <w:szCs w:val="20"/>
        </w:rPr>
        <w:t>21</w:t>
      </w:r>
      <w:r>
        <w:rPr>
          <w:rFonts w:ascii="Arial" w:eastAsia="Times New Roman" w:hAnsi="Arial" w:cs="Arial"/>
          <w:sz w:val="14"/>
          <w:szCs w:val="20"/>
        </w:rPr>
        <w:t xml:space="preserve"> września </w:t>
      </w:r>
      <w:r w:rsidRPr="00FA5A6D">
        <w:rPr>
          <w:rFonts w:ascii="Arial" w:eastAsia="Times New Roman" w:hAnsi="Arial" w:cs="Arial"/>
          <w:sz w:val="14"/>
          <w:szCs w:val="20"/>
        </w:rPr>
        <w:t>2020 r.</w:t>
      </w:r>
    </w:p>
    <w:p w:rsidR="003024FA" w:rsidRPr="00C928C8" w:rsidRDefault="003024FA" w:rsidP="003024FA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after="200" w:line="100" w:lineRule="atLeast"/>
        <w:jc w:val="center"/>
        <w:rPr>
          <w:rFonts w:ascii="Arial" w:eastAsia="Calibri" w:hAnsi="Arial" w:cs="Arial"/>
          <w:b/>
          <w:bCs/>
          <w:color w:val="808080" w:themeColor="background1" w:themeShade="80"/>
        </w:rPr>
      </w:pPr>
      <w:r>
        <w:rPr>
          <w:rFonts w:asciiTheme="minorHAnsi" w:eastAsia="Times New Roman" w:hAnsiTheme="minorHAnsi"/>
          <w:b/>
          <w:bCs/>
          <w:smallCaps/>
          <w:color w:val="808080" w:themeColor="background1" w:themeShade="80"/>
          <w:sz w:val="48"/>
          <w:szCs w:val="48"/>
        </w:rPr>
        <w:t>Opinia</w:t>
      </w:r>
    </w:p>
    <w:p w:rsidR="003024FA" w:rsidRPr="003024FA" w:rsidRDefault="003024FA" w:rsidP="003024FA">
      <w:pPr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144F83" w:rsidRPr="00144F83" w:rsidRDefault="00144F83" w:rsidP="00144F83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144F83">
        <w:rPr>
          <w:rFonts w:ascii="Arial" w:hAnsi="Arial" w:cs="Arial"/>
          <w:sz w:val="18"/>
          <w:szCs w:val="18"/>
          <w:u w:val="single"/>
        </w:rPr>
        <w:t>dotyczy</w:t>
      </w:r>
      <w:r w:rsidRPr="00144F83">
        <w:rPr>
          <w:rFonts w:ascii="Arial" w:hAnsi="Arial" w:cs="Arial"/>
          <w:sz w:val="18"/>
          <w:szCs w:val="18"/>
        </w:rPr>
        <w:t>: projektu ustawy o zmianie ustawy – Kodeks spółek handlowych oraz niektórych innych ustaw</w:t>
      </w:r>
    </w:p>
    <w:p w:rsidR="00144F83" w:rsidRPr="00144F83" w:rsidRDefault="00144F83" w:rsidP="00144F83">
      <w:pPr>
        <w:spacing w:line="312" w:lineRule="auto"/>
        <w:rPr>
          <w:rFonts w:ascii="Arial" w:hAnsi="Arial" w:cs="Arial"/>
          <w:sz w:val="18"/>
          <w:szCs w:val="18"/>
        </w:rPr>
      </w:pPr>
    </w:p>
    <w:p w:rsidR="00144F83" w:rsidRPr="00144F83" w:rsidRDefault="00144F83" w:rsidP="00144F83">
      <w:pPr>
        <w:pStyle w:val="NormalnyWeb"/>
        <w:shd w:val="clear" w:color="auto" w:fill="FFFFFF"/>
        <w:spacing w:line="312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44F83">
        <w:rPr>
          <w:rFonts w:ascii="Arial" w:hAnsi="Arial" w:cs="Arial"/>
          <w:b/>
          <w:bCs/>
          <w:sz w:val="18"/>
          <w:szCs w:val="18"/>
        </w:rPr>
        <w:t>Wprowadzeni</w:t>
      </w:r>
      <w:r>
        <w:rPr>
          <w:rFonts w:ascii="Arial" w:hAnsi="Arial" w:cs="Arial"/>
          <w:b/>
          <w:bCs/>
          <w:sz w:val="18"/>
          <w:szCs w:val="18"/>
        </w:rPr>
        <w:t>e</w:t>
      </w:r>
      <w:r w:rsidRPr="00144F83">
        <w:rPr>
          <w:rFonts w:ascii="Arial" w:hAnsi="Arial" w:cs="Arial"/>
          <w:b/>
          <w:bCs/>
          <w:sz w:val="18"/>
          <w:szCs w:val="18"/>
        </w:rPr>
        <w:t xml:space="preserve"> do polskiego prawa spółek handlowych regulacji p</w:t>
      </w:r>
      <w:r>
        <w:rPr>
          <w:rFonts w:ascii="Arial" w:hAnsi="Arial" w:cs="Arial"/>
          <w:b/>
          <w:bCs/>
          <w:sz w:val="18"/>
          <w:szCs w:val="18"/>
        </w:rPr>
        <w:t>rawnej tzw. prawa holdingowego</w:t>
      </w:r>
    </w:p>
    <w:p w:rsidR="00144F83" w:rsidRPr="00144F83" w:rsidRDefault="00144F83" w:rsidP="00144F83">
      <w:pPr>
        <w:pStyle w:val="NormalnyWeb"/>
        <w:numPr>
          <w:ilvl w:val="0"/>
          <w:numId w:val="6"/>
        </w:numPr>
        <w:shd w:val="clear" w:color="auto" w:fill="FFFFFF"/>
        <w:spacing w:line="312" w:lineRule="auto"/>
        <w:jc w:val="both"/>
        <w:rPr>
          <w:rFonts w:ascii="Arial" w:hAnsi="Arial" w:cs="Arial"/>
          <w:b/>
          <w:sz w:val="18"/>
          <w:szCs w:val="18"/>
        </w:rPr>
      </w:pPr>
      <w:r w:rsidRPr="00144F83">
        <w:rPr>
          <w:rFonts w:ascii="Arial" w:hAnsi="Arial" w:cs="Arial"/>
          <w:b/>
          <w:sz w:val="18"/>
          <w:szCs w:val="18"/>
        </w:rPr>
        <w:t>Wprowadzenie do ustawy Kodeks spółek handlowych przepisów regulujących relacje w tzw. grupie spółek, wykraczające poza aktualnie obowiązujący art. 7 Ksh, jest pożądane i odpowiada na zapotrzebowanie wynikające z faktycznego istnienia relacji i powiązań prawno-gospodarczych w szeroko</w:t>
      </w:r>
      <w:r>
        <w:rPr>
          <w:rFonts w:ascii="Arial" w:hAnsi="Arial" w:cs="Arial"/>
          <w:b/>
          <w:sz w:val="18"/>
          <w:szCs w:val="18"/>
        </w:rPr>
        <w:t xml:space="preserve"> pojętych grupach kapitałowych.</w:t>
      </w:r>
    </w:p>
    <w:p w:rsidR="00144F83" w:rsidRPr="00144F83" w:rsidRDefault="00144F83" w:rsidP="00144F83">
      <w:pPr>
        <w:pStyle w:val="NormalnyWeb"/>
        <w:numPr>
          <w:ilvl w:val="0"/>
          <w:numId w:val="6"/>
        </w:numPr>
        <w:shd w:val="clear" w:color="auto" w:fill="FFFFFF"/>
        <w:spacing w:line="312" w:lineRule="auto"/>
        <w:jc w:val="both"/>
        <w:rPr>
          <w:rFonts w:ascii="Arial" w:hAnsi="Arial" w:cs="Arial"/>
          <w:b/>
          <w:sz w:val="18"/>
          <w:szCs w:val="18"/>
        </w:rPr>
      </w:pPr>
      <w:r w:rsidRPr="00144F83">
        <w:rPr>
          <w:rFonts w:ascii="Arial" w:hAnsi="Arial" w:cs="Arial"/>
          <w:b/>
          <w:sz w:val="18"/>
          <w:szCs w:val="18"/>
        </w:rPr>
        <w:t>Zagadnienie to widocznie jest nie tylko w strukturach holdingów korporacyjnych, ale również w grupach spółek, gdzie właścicielem, beneficjentem ostatecznym, jest prywatny właściciel lub właściciele powiązani więzami rodzinnymi (firmy rodzinne)</w:t>
      </w:r>
      <w:r>
        <w:rPr>
          <w:rFonts w:ascii="Arial" w:hAnsi="Arial" w:cs="Arial"/>
          <w:b/>
          <w:sz w:val="18"/>
          <w:szCs w:val="18"/>
        </w:rPr>
        <w:t>.</w:t>
      </w:r>
    </w:p>
    <w:p w:rsidR="00144F83" w:rsidRPr="00144F83" w:rsidRDefault="00144F83" w:rsidP="00144F83">
      <w:pPr>
        <w:pStyle w:val="NormalnyWeb"/>
        <w:numPr>
          <w:ilvl w:val="0"/>
          <w:numId w:val="6"/>
        </w:numPr>
        <w:shd w:val="clear" w:color="auto" w:fill="FFFFFF"/>
        <w:spacing w:line="312" w:lineRule="auto"/>
        <w:jc w:val="both"/>
        <w:rPr>
          <w:rFonts w:ascii="Arial" w:hAnsi="Arial" w:cs="Arial"/>
          <w:b/>
          <w:sz w:val="18"/>
          <w:szCs w:val="18"/>
        </w:rPr>
      </w:pPr>
      <w:r w:rsidRPr="00144F83">
        <w:rPr>
          <w:rFonts w:ascii="Arial" w:hAnsi="Arial" w:cs="Arial"/>
          <w:b/>
          <w:sz w:val="18"/>
          <w:szCs w:val="18"/>
        </w:rPr>
        <w:t>Dla nich strukturyzacja działalności gospodarczej z wykorzystaniem proponowanych przepisów regulujących relacje w grupie spółek w dobie zmiany pokoleniowej jaka zachodzi w przestrzeni rodzimej gospodarki może, obok aktualnie oczekiwanych nowych rozwiązań legislacyjnych (fundacja prywatna, rodzinna), istotnie wpłynąć na jakość procesów sukcesji i możliwości budowania wielopokoleniowych przedsięwzięć gospodarczych.</w:t>
      </w:r>
    </w:p>
    <w:p w:rsidR="00144F83" w:rsidRPr="00144F83" w:rsidRDefault="00144F83" w:rsidP="00144F83">
      <w:pPr>
        <w:pStyle w:val="NormalnyWeb"/>
        <w:shd w:val="clear" w:color="auto" w:fill="FFFFFF"/>
        <w:spacing w:line="312" w:lineRule="auto"/>
        <w:rPr>
          <w:rFonts w:ascii="Arial" w:hAnsi="Arial" w:cs="Arial"/>
          <w:b/>
          <w:bCs/>
          <w:sz w:val="18"/>
          <w:szCs w:val="18"/>
        </w:rPr>
      </w:pPr>
      <w:r w:rsidRPr="00144F83">
        <w:rPr>
          <w:rFonts w:ascii="Arial" w:hAnsi="Arial" w:cs="Arial"/>
          <w:b/>
          <w:bCs/>
          <w:sz w:val="18"/>
          <w:szCs w:val="18"/>
        </w:rPr>
        <w:t>Nowelizacja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144F83">
        <w:rPr>
          <w:rFonts w:ascii="Arial" w:hAnsi="Arial" w:cs="Arial"/>
          <w:b/>
          <w:bCs/>
          <w:sz w:val="18"/>
          <w:szCs w:val="18"/>
        </w:rPr>
        <w:t>przepisów mająca na celu wzmocnienie efektywności rad nadzorczych</w:t>
      </w:r>
    </w:p>
    <w:p w:rsidR="00144F83" w:rsidRPr="00144F83" w:rsidRDefault="00144F83" w:rsidP="00144F83">
      <w:pPr>
        <w:pStyle w:val="NormalnyWeb"/>
        <w:shd w:val="clear" w:color="auto" w:fill="FFFFFF"/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BCC </w:t>
      </w:r>
      <w:r w:rsidRPr="00144F83">
        <w:rPr>
          <w:rFonts w:ascii="Arial" w:hAnsi="Arial" w:cs="Arial"/>
          <w:sz w:val="18"/>
          <w:szCs w:val="18"/>
        </w:rPr>
        <w:t>pozytywnie</w:t>
      </w:r>
      <w:r>
        <w:rPr>
          <w:rFonts w:ascii="Arial" w:hAnsi="Arial" w:cs="Arial"/>
          <w:sz w:val="18"/>
          <w:szCs w:val="18"/>
        </w:rPr>
        <w:t xml:space="preserve"> ocenia</w:t>
      </w:r>
      <w:r w:rsidRPr="00144F83">
        <w:rPr>
          <w:rFonts w:ascii="Arial" w:hAnsi="Arial" w:cs="Arial"/>
          <w:sz w:val="18"/>
          <w:szCs w:val="18"/>
        </w:rPr>
        <w:t xml:space="preserve"> propozycję zmian do ustawy Kodeks spółek handlowych w zakresie dotyczącym wprowadzenia przepisów umożliwiających radzie nadzorczej sprawowanie efektywnego nadzoru, dostępu do danych oraz wiedzy eksperckiej.</w:t>
      </w:r>
    </w:p>
    <w:p w:rsidR="00144F83" w:rsidRPr="00144F83" w:rsidRDefault="00144F83" w:rsidP="00144F83">
      <w:pPr>
        <w:pStyle w:val="NormalnyWeb"/>
        <w:shd w:val="clear" w:color="auto" w:fill="FFFFFF"/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144F83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roponujemy </w:t>
      </w:r>
      <w:r w:rsidRPr="00144F83">
        <w:rPr>
          <w:rFonts w:ascii="Arial" w:hAnsi="Arial" w:cs="Arial"/>
          <w:sz w:val="18"/>
          <w:szCs w:val="18"/>
        </w:rPr>
        <w:t>jednak zachowanie tożsamości we wprowadzaniu rozwiązań dla spółek kapitałowych, odpowiednich dla spółki z ograniczoną odpowiedzialnością jak do spółki akcyjnej. Nie znajduje bowiem uzasadnienia gospodarczego oraz faktycznego pozostawienie poza regulacją w spółce z ograniczoną odpowiedzialnością rozwiązań i norm zaproponowanych dla spółki akcyjnej, np. w zakresie projektowanego art. 380</w:t>
      </w:r>
      <w:r w:rsidRPr="00144F83">
        <w:rPr>
          <w:rFonts w:ascii="Arial" w:hAnsi="Arial" w:cs="Arial"/>
          <w:sz w:val="18"/>
          <w:szCs w:val="18"/>
          <w:vertAlign w:val="superscript"/>
        </w:rPr>
        <w:t>1</w:t>
      </w:r>
      <w:r w:rsidRPr="00144F83">
        <w:rPr>
          <w:rFonts w:ascii="Arial" w:hAnsi="Arial" w:cs="Arial"/>
          <w:sz w:val="18"/>
          <w:szCs w:val="18"/>
        </w:rPr>
        <w:t>i możliwości efektywnego realizowania uprawnień nadzorczych. Wiele firm prowadzonych jest w formie spółki z o.o. i z wielu względów właściciele nie planują zmiany formy prawnej na spółkę akcyjną, przy czym firmy te prowadzone są od dekad i towarzyszy im wizja wielopokoleniowości (która cechuje rodzinną przedsiębiorczość), co związane jest z coraz popularniejszym faktem powoływania rad nadzorczych, w których zasiadają przedstawiciele rodziny właścicieli - wspólników oraz angażowania do zarządu menadżerów zewnętrznych. Stanowi to zatem o potrzebie istnienia narzędzi umożliwiających radzie nadzorczej w spółce z o.o. sprawowania bieżącego i aktywnego nadzoru.</w:t>
      </w:r>
    </w:p>
    <w:p w:rsidR="00144F83" w:rsidRPr="00144F83" w:rsidRDefault="00144F83" w:rsidP="00144F83">
      <w:pPr>
        <w:pStyle w:val="NormalnyWeb"/>
        <w:shd w:val="clear" w:color="auto" w:fill="FFFFFF"/>
        <w:spacing w:line="312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Szczegółowe uwagi do </w:t>
      </w:r>
      <w:r w:rsidRPr="00144F83">
        <w:rPr>
          <w:rFonts w:ascii="Arial" w:hAnsi="Arial" w:cs="Arial"/>
          <w:b/>
          <w:bCs/>
          <w:sz w:val="18"/>
          <w:szCs w:val="18"/>
        </w:rPr>
        <w:t>propozycji brzmienia przepisów ustawy Kodeks spółek handlowych</w:t>
      </w:r>
    </w:p>
    <w:p w:rsidR="00144F83" w:rsidRPr="00144F83" w:rsidRDefault="00144F83" w:rsidP="00144F83">
      <w:pPr>
        <w:pStyle w:val="NormalnyWeb"/>
        <w:numPr>
          <w:ilvl w:val="0"/>
          <w:numId w:val="4"/>
        </w:numPr>
        <w:shd w:val="clear" w:color="auto" w:fill="FFFFFF"/>
        <w:spacing w:line="312" w:lineRule="auto"/>
        <w:rPr>
          <w:rFonts w:ascii="Arial" w:hAnsi="Arial" w:cs="Arial"/>
          <w:b/>
          <w:bCs/>
          <w:sz w:val="18"/>
          <w:szCs w:val="18"/>
        </w:rPr>
      </w:pPr>
      <w:r w:rsidRPr="00144F83">
        <w:rPr>
          <w:rFonts w:ascii="Arial" w:hAnsi="Arial" w:cs="Arial"/>
          <w:b/>
          <w:bCs/>
          <w:sz w:val="18"/>
          <w:szCs w:val="18"/>
        </w:rPr>
        <w:t>Definicja „grupa spółek” – art. 5</w:t>
      </w:r>
      <w:r w:rsidRPr="00144F83">
        <w:rPr>
          <w:rFonts w:ascii="Arial" w:hAnsi="Arial" w:cs="Arial"/>
          <w:b/>
          <w:bCs/>
          <w:sz w:val="18"/>
          <w:szCs w:val="18"/>
          <w:vertAlign w:val="superscript"/>
        </w:rPr>
        <w:t>1</w:t>
      </w:r>
    </w:p>
    <w:p w:rsidR="00144F83" w:rsidRPr="00144F83" w:rsidRDefault="00144F83" w:rsidP="00144F83">
      <w:pPr>
        <w:pStyle w:val="NormalnyWeb"/>
        <w:shd w:val="clear" w:color="auto" w:fill="FFFFFF"/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144F83">
        <w:rPr>
          <w:rFonts w:ascii="Arial" w:hAnsi="Arial" w:cs="Arial"/>
          <w:sz w:val="18"/>
          <w:szCs w:val="18"/>
        </w:rPr>
        <w:t>Definicja wskazuje na charakter uczestniczenia w grupie spółek zarówno spółek kapitałowych jak i osobowych. Nie wydaje się zasadnym interpretacja definicji wykluczająca z grupy spółek spółek osobowych,</w:t>
      </w:r>
      <w:r>
        <w:rPr>
          <w:rFonts w:ascii="Arial" w:hAnsi="Arial" w:cs="Arial"/>
          <w:sz w:val="18"/>
          <w:szCs w:val="18"/>
        </w:rPr>
        <w:t xml:space="preserve"> </w:t>
      </w:r>
      <w:r w:rsidRPr="00144F83">
        <w:rPr>
          <w:rFonts w:ascii="Arial" w:hAnsi="Arial" w:cs="Arial"/>
          <w:sz w:val="18"/>
          <w:szCs w:val="18"/>
        </w:rPr>
        <w:t>jak na przykład spółki jawnej czy spółki komandytowej ze względu na charakter odpowiedzialności wspólników. Oznaczałoby to istotne ograniczenie gospodarcze dla spółek prowadzących działalność operacyjną. Niemniej jednak projektowany Dział IV w zasadzie odnosi się do spółek zależnych jako spółek kapitałowych. Jeżeli ustawodawca definiuje grupę spółek wyłącznie jako spółki kapitałowe to winien w naszej ocenie wskazać wprost w ustawie, w definicji. Jeżeli intencją ustawodawcy jest objęcie zakresem również spółek osobowych (takie faktycznie wchodzą w skład holdingów i powiązań w ramach faktycznych grup spółek, w których realizowana jest wspólna strategia gospodarcza) winien uwzględnić charakter takiego uczestnictwa w Dziale IV ustawy w ramach projektowanych zmian.</w:t>
      </w:r>
    </w:p>
    <w:p w:rsidR="00144F83" w:rsidRPr="00144F83" w:rsidRDefault="00144F83" w:rsidP="00144F83">
      <w:pPr>
        <w:pStyle w:val="NormalnyWeb"/>
        <w:shd w:val="clear" w:color="auto" w:fill="FFFFFF"/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144F83">
        <w:rPr>
          <w:rFonts w:ascii="Arial" w:hAnsi="Arial" w:cs="Arial"/>
          <w:sz w:val="18"/>
          <w:szCs w:val="18"/>
        </w:rPr>
        <w:t>Zawarcie w definicji tekstu „kierujące się – zgodnie z umowa albo statutem spółki zależnej – wspólną strategią gospodarczą (interes grupy spółek), umożliwiającą spółce dominującej sprawowanie jednolitego kierownictwa” wskazuje jakoby wspólna strategia miała umożliwiać sprawowanie jednolitego kierownictwa, co wydaje się że z przyczyn formalnoprawnych nie może mieć miejsca. Proponujemy rozważyć brzmienie definicji jako:</w:t>
      </w:r>
    </w:p>
    <w:p w:rsidR="00144F83" w:rsidRPr="00144F83" w:rsidRDefault="00144F83" w:rsidP="00144F83">
      <w:pPr>
        <w:pStyle w:val="NormalnyWeb"/>
        <w:shd w:val="clear" w:color="auto" w:fill="FFFFFF"/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144F83">
        <w:rPr>
          <w:rFonts w:ascii="Arial" w:hAnsi="Arial" w:cs="Arial"/>
          <w:sz w:val="18"/>
          <w:szCs w:val="18"/>
        </w:rPr>
        <w:t>„5</w:t>
      </w:r>
      <w:r w:rsidRPr="00144F83">
        <w:rPr>
          <w:rFonts w:ascii="Arial" w:hAnsi="Arial" w:cs="Arial"/>
          <w:sz w:val="18"/>
          <w:szCs w:val="18"/>
          <w:vertAlign w:val="superscript"/>
        </w:rPr>
        <w:t>1</w:t>
      </w:r>
      <w:r w:rsidRPr="00144F83">
        <w:rPr>
          <w:rFonts w:ascii="Arial" w:hAnsi="Arial" w:cs="Arial"/>
          <w:sz w:val="18"/>
          <w:szCs w:val="18"/>
        </w:rPr>
        <w:t xml:space="preserve"> grupa spółek – spółkę dominującą i spółkę lub spółki od niej zależne, kierujące</w:t>
      </w:r>
      <w:r>
        <w:rPr>
          <w:rFonts w:ascii="Arial" w:hAnsi="Arial" w:cs="Arial"/>
          <w:sz w:val="18"/>
          <w:szCs w:val="18"/>
        </w:rPr>
        <w:t xml:space="preserve"> </w:t>
      </w:r>
      <w:r w:rsidRPr="00144F83">
        <w:rPr>
          <w:rFonts w:ascii="Arial" w:hAnsi="Arial" w:cs="Arial"/>
          <w:sz w:val="18"/>
          <w:szCs w:val="18"/>
        </w:rPr>
        <w:t>się – zgodnie z umową spółki albo statutem każdej spółki zależnej – wspólną strategią gospodarczą (interes grupy spółek), którą spółka dominująca</w:t>
      </w:r>
      <w:r>
        <w:rPr>
          <w:rFonts w:ascii="Arial" w:hAnsi="Arial" w:cs="Arial"/>
          <w:sz w:val="18"/>
          <w:szCs w:val="18"/>
        </w:rPr>
        <w:t xml:space="preserve"> </w:t>
      </w:r>
      <w:r w:rsidRPr="00144F83">
        <w:rPr>
          <w:rFonts w:ascii="Arial" w:hAnsi="Arial" w:cs="Arial"/>
          <w:sz w:val="18"/>
          <w:szCs w:val="18"/>
        </w:rPr>
        <w:t>kieruje się</w:t>
      </w:r>
      <w:r>
        <w:rPr>
          <w:rFonts w:ascii="Arial" w:hAnsi="Arial" w:cs="Arial"/>
          <w:sz w:val="18"/>
          <w:szCs w:val="18"/>
        </w:rPr>
        <w:t>,</w:t>
      </w:r>
      <w:r w:rsidRPr="00144F83">
        <w:rPr>
          <w:rFonts w:ascii="Arial" w:hAnsi="Arial" w:cs="Arial"/>
          <w:sz w:val="18"/>
          <w:szCs w:val="18"/>
        </w:rPr>
        <w:t xml:space="preserve"> sprawując jednolite kierownictwo nad spółką albo spółkami zależnymi.”</w:t>
      </w:r>
    </w:p>
    <w:p w:rsidR="00144F83" w:rsidRPr="00144F83" w:rsidRDefault="00144F83" w:rsidP="00144F83">
      <w:pPr>
        <w:pStyle w:val="NormalnyWeb"/>
        <w:numPr>
          <w:ilvl w:val="0"/>
          <w:numId w:val="4"/>
        </w:numPr>
        <w:shd w:val="clear" w:color="auto" w:fill="FFFFFF"/>
        <w:spacing w:line="312" w:lineRule="auto"/>
        <w:rPr>
          <w:rFonts w:ascii="Arial" w:hAnsi="Arial" w:cs="Arial"/>
          <w:b/>
          <w:bCs/>
          <w:sz w:val="18"/>
          <w:szCs w:val="18"/>
        </w:rPr>
      </w:pPr>
      <w:r w:rsidRPr="00144F83">
        <w:rPr>
          <w:rFonts w:ascii="Arial" w:hAnsi="Arial" w:cs="Arial"/>
          <w:b/>
          <w:bCs/>
          <w:sz w:val="18"/>
          <w:szCs w:val="18"/>
        </w:rPr>
        <w:t>Artykuł21</w:t>
      </w:r>
      <w:r w:rsidRPr="00144F83">
        <w:rPr>
          <w:rFonts w:ascii="Arial" w:hAnsi="Arial" w:cs="Arial"/>
          <w:b/>
          <w:bCs/>
          <w:sz w:val="18"/>
          <w:szCs w:val="18"/>
          <w:vertAlign w:val="superscript"/>
        </w:rPr>
        <w:t>1</w:t>
      </w:r>
    </w:p>
    <w:p w:rsidR="00144F83" w:rsidRPr="00144F83" w:rsidRDefault="00144F83" w:rsidP="00144F83">
      <w:pPr>
        <w:pStyle w:val="NormalnyWeb"/>
        <w:shd w:val="clear" w:color="auto" w:fill="FFFFFF"/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144F83">
        <w:rPr>
          <w:rFonts w:ascii="Arial" w:hAnsi="Arial" w:cs="Arial"/>
          <w:sz w:val="18"/>
          <w:szCs w:val="18"/>
        </w:rPr>
        <w:t>Projektowany przepis wprowadza obowiązek ujawnienia w rejestrze swojego uczestnictwa w grupie spółek zarówno dla spółki dominującej, jak i spółki zależnej. Zakres zmian do ustawy o Krajowym Rejestrze Sądowym obejmuje jedynie wskazanie wzmianki o uczestniczeniu spółki lub innego przedsiębiorcy w oznaczonej w oznaczonej grupie spółek. Wątpliwości budzi w tym zakresie kilka rzeczy, mianowicie:</w:t>
      </w:r>
    </w:p>
    <w:p w:rsidR="00144F83" w:rsidRPr="00144F83" w:rsidRDefault="00144F83" w:rsidP="00144F83">
      <w:pPr>
        <w:pStyle w:val="NormalnyWeb"/>
        <w:numPr>
          <w:ilvl w:val="0"/>
          <w:numId w:val="5"/>
        </w:numPr>
        <w:shd w:val="clear" w:color="auto" w:fill="FFFFFF"/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144F83">
        <w:rPr>
          <w:rFonts w:ascii="Arial" w:hAnsi="Arial" w:cs="Arial"/>
          <w:sz w:val="18"/>
          <w:szCs w:val="18"/>
        </w:rPr>
        <w:t>Wskazanie na wzmiankę o „innym przedsiębiorcy” uczestniczącym w grupie spółek, gdzie definicja w art. 5</w:t>
      </w:r>
      <w:r w:rsidRPr="00144F83">
        <w:rPr>
          <w:rFonts w:ascii="Arial" w:hAnsi="Arial" w:cs="Arial"/>
          <w:sz w:val="18"/>
          <w:szCs w:val="18"/>
          <w:vertAlign w:val="superscript"/>
        </w:rPr>
        <w:t>1</w:t>
      </w:r>
      <w:r w:rsidRPr="00144F83">
        <w:rPr>
          <w:rFonts w:ascii="Arial" w:hAnsi="Arial" w:cs="Arial"/>
          <w:sz w:val="18"/>
          <w:szCs w:val="18"/>
        </w:rPr>
        <w:t xml:space="preserve"> wskazuje na spółki prawa handlowego, przy czym art. 21</w:t>
      </w:r>
      <w:r w:rsidRPr="00144F83">
        <w:rPr>
          <w:rFonts w:ascii="Arial" w:hAnsi="Arial" w:cs="Arial"/>
          <w:sz w:val="18"/>
          <w:szCs w:val="18"/>
          <w:vertAlign w:val="superscript"/>
        </w:rPr>
        <w:t>15</w:t>
      </w:r>
      <w:r w:rsidRPr="00144F83">
        <w:rPr>
          <w:rFonts w:ascii="Arial" w:hAnsi="Arial" w:cs="Arial"/>
          <w:sz w:val="18"/>
          <w:szCs w:val="18"/>
        </w:rPr>
        <w:t xml:space="preserve"> stanowi, że przepisy ustawy o grupach spółek </w:t>
      </w:r>
      <w:r w:rsidRPr="00144F83">
        <w:rPr>
          <w:rFonts w:ascii="Arial" w:hAnsi="Arial" w:cs="Arial"/>
          <w:sz w:val="18"/>
          <w:szCs w:val="18"/>
          <w:u w:val="single"/>
        </w:rPr>
        <w:t>dotyczące spółki dominującej</w:t>
      </w:r>
      <w:r w:rsidRPr="00144F83">
        <w:rPr>
          <w:rFonts w:ascii="Arial" w:hAnsi="Arial" w:cs="Arial"/>
          <w:sz w:val="18"/>
          <w:szCs w:val="18"/>
        </w:rPr>
        <w:t xml:space="preserve"> stosuje się odpowiednio do spółdzielni, fundacji bądź stowarzyszenia prowadzących działalność gospodarczą (…). Problematyka ujawnienia uczestniczenia w grupie spółek jest zagadnieniem szerszym, gdyż w faktycznych grupach spółek funkcjonujących w obrocie aktualnie spotykamy: (i) fundacje działające pod prawem obcym (nadal nie ma analogicznego rozwiązania pod prawem polskim, choć trwają prace nad takimi przepisami), które nie prowadzą działalności gospodarczej a są holdingiem dla całej grupy skupiającym prawa własnościowe do podmiotów gospodarczych tworzących m.in. rodzinne przedsięwzięcia; (ii) spółki działające pod prawem obcym faktycznie odgrywające znaczenie dla działalności holdingu, których pominięcie w identyfikacji na gruncie nowelizowanych przepisów KSH może odgrywać istotną rolę w interpretacji wspólnej strategii oraz sprawowaniu kierownictwa nad grupą spółek. </w:t>
      </w:r>
    </w:p>
    <w:p w:rsidR="00144F83" w:rsidRPr="00144F83" w:rsidRDefault="00144F83" w:rsidP="00144F83">
      <w:pPr>
        <w:pStyle w:val="NormalnyWeb"/>
        <w:shd w:val="clear" w:color="auto" w:fill="FFFFFF"/>
        <w:spacing w:line="312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144F83">
        <w:rPr>
          <w:rFonts w:ascii="Arial" w:hAnsi="Arial" w:cs="Arial"/>
          <w:sz w:val="18"/>
          <w:szCs w:val="18"/>
        </w:rPr>
        <w:t>Zasadne wobec tego wydaje się wprowadzenie zmiany w zakresie ujawniania w rejestrze uczestnictwa w grupie spółek każdej spółki prawa handlowego zgodnie z art. 1 KSH (jak również odpowiednio stosowane do art. 21</w:t>
      </w:r>
      <w:r w:rsidRPr="00144F83">
        <w:rPr>
          <w:rFonts w:ascii="Arial" w:hAnsi="Arial" w:cs="Arial"/>
          <w:sz w:val="18"/>
          <w:szCs w:val="18"/>
          <w:vertAlign w:val="superscript"/>
        </w:rPr>
        <w:t>15</w:t>
      </w:r>
      <w:r w:rsidRPr="00144F83">
        <w:rPr>
          <w:rFonts w:ascii="Arial" w:hAnsi="Arial" w:cs="Arial"/>
          <w:sz w:val="18"/>
          <w:szCs w:val="18"/>
        </w:rPr>
        <w:t>) nie wyłącznie wzmianki o uczestnictwie ale stworzenie przestrzeni w systemie informatycznym rejestru, w którym możliwe będzie nadanie numeru zgłoszenia dla wszystkich spółek (podmiotów) w grupie, pod którym to numerem możliwa będzie identyfikacja podmiotów wskazanych jako wchodzące w skład grupy spółek (również podmiotów z siedzibą za granicą). Zgłoszenie takiego będzie mogła dokonać każda spółka, która ujawnia swoje uczestnictwo w danej grupie.</w:t>
      </w:r>
    </w:p>
    <w:p w:rsidR="00144F83" w:rsidRPr="00144F83" w:rsidRDefault="00144F83" w:rsidP="00144F83">
      <w:pPr>
        <w:pStyle w:val="NormalnyWeb"/>
        <w:numPr>
          <w:ilvl w:val="0"/>
          <w:numId w:val="5"/>
        </w:numPr>
        <w:shd w:val="clear" w:color="auto" w:fill="FFFFFF"/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144F83">
        <w:rPr>
          <w:rFonts w:ascii="Arial" w:hAnsi="Arial" w:cs="Arial"/>
          <w:sz w:val="18"/>
          <w:szCs w:val="18"/>
        </w:rPr>
        <w:t>Regulacja w brzmieniu: „Spółka dominująca i spółka zależna ujawnia w rejestrze swoje uczestnictwo w grupie spółek. Przepisów art. 21</w:t>
      </w:r>
      <w:r w:rsidRPr="00144F83">
        <w:rPr>
          <w:rFonts w:ascii="Arial" w:hAnsi="Arial" w:cs="Arial"/>
          <w:sz w:val="18"/>
          <w:szCs w:val="18"/>
          <w:vertAlign w:val="superscript"/>
        </w:rPr>
        <w:t>2</w:t>
      </w:r>
      <w:r w:rsidRPr="00144F83">
        <w:rPr>
          <w:rFonts w:ascii="Arial" w:hAnsi="Arial" w:cs="Arial"/>
          <w:sz w:val="18"/>
          <w:szCs w:val="18"/>
        </w:rPr>
        <w:t xml:space="preserve"> – art. 21</w:t>
      </w:r>
      <w:r w:rsidRPr="00144F83">
        <w:rPr>
          <w:rFonts w:ascii="Arial" w:hAnsi="Arial" w:cs="Arial"/>
          <w:sz w:val="18"/>
          <w:szCs w:val="18"/>
          <w:vertAlign w:val="superscript"/>
        </w:rPr>
        <w:t>7</w:t>
      </w:r>
      <w:r w:rsidRPr="00144F83">
        <w:rPr>
          <w:rFonts w:ascii="Arial" w:hAnsi="Arial" w:cs="Arial"/>
          <w:sz w:val="18"/>
          <w:szCs w:val="18"/>
        </w:rPr>
        <w:t xml:space="preserve"> oraz art. 21</w:t>
      </w:r>
      <w:r w:rsidRPr="00144F83">
        <w:rPr>
          <w:rFonts w:ascii="Arial" w:hAnsi="Arial" w:cs="Arial"/>
          <w:sz w:val="18"/>
          <w:szCs w:val="18"/>
          <w:vertAlign w:val="superscript"/>
        </w:rPr>
        <w:t>11</w:t>
      </w:r>
      <w:r w:rsidRPr="00144F83">
        <w:rPr>
          <w:rFonts w:ascii="Arial" w:hAnsi="Arial" w:cs="Arial"/>
          <w:sz w:val="18"/>
          <w:szCs w:val="18"/>
        </w:rPr>
        <w:t xml:space="preserve"> – art. 21</w:t>
      </w:r>
      <w:r w:rsidRPr="00144F83">
        <w:rPr>
          <w:rFonts w:ascii="Arial" w:hAnsi="Arial" w:cs="Arial"/>
          <w:sz w:val="18"/>
          <w:szCs w:val="18"/>
          <w:vertAlign w:val="superscript"/>
        </w:rPr>
        <w:t>12</w:t>
      </w:r>
      <w:r w:rsidRPr="00144F83">
        <w:rPr>
          <w:rFonts w:ascii="Arial" w:hAnsi="Arial" w:cs="Arial"/>
          <w:sz w:val="18"/>
          <w:szCs w:val="18"/>
        </w:rPr>
        <w:t xml:space="preserve"> nie stosuje się przed dokonaniem </w:t>
      </w:r>
      <w:r w:rsidRPr="00144F83">
        <w:rPr>
          <w:rFonts w:ascii="Arial" w:hAnsi="Arial" w:cs="Arial"/>
          <w:sz w:val="18"/>
          <w:szCs w:val="18"/>
        </w:rPr>
        <w:lastRenderedPageBreak/>
        <w:t>wpisu w stosunku do spółki, która nie wykonała obowiązku wskazanego w zdaniu pierwszym.” pozwala przyjąć, że część przepisów regulowanych w Dziale IV stosuje się do faktycznie działających holdingów pomimo ujawnienia. Zakres bowiem wyłączenia w zdaniu drugim zawiera jedynie część regulacji, przy czym wątpliwości budzić może dlaczego ustawodawca dokonał jedynie takiego wyłączenia, pozostawiając np. przepisy art. 21</w:t>
      </w:r>
      <w:r w:rsidRPr="00144F83">
        <w:rPr>
          <w:rFonts w:ascii="Arial" w:hAnsi="Arial" w:cs="Arial"/>
          <w:sz w:val="18"/>
          <w:szCs w:val="18"/>
          <w:vertAlign w:val="superscript"/>
        </w:rPr>
        <w:t>8</w:t>
      </w:r>
      <w:r w:rsidRPr="00144F83">
        <w:rPr>
          <w:rFonts w:ascii="Arial" w:hAnsi="Arial" w:cs="Arial"/>
          <w:sz w:val="18"/>
          <w:szCs w:val="18"/>
        </w:rPr>
        <w:t xml:space="preserve"> lub 21</w:t>
      </w:r>
      <w:r w:rsidRPr="00144F83">
        <w:rPr>
          <w:rFonts w:ascii="Arial" w:hAnsi="Arial" w:cs="Arial"/>
          <w:sz w:val="18"/>
          <w:szCs w:val="18"/>
          <w:vertAlign w:val="superscript"/>
        </w:rPr>
        <w:t>9</w:t>
      </w:r>
      <w:r w:rsidRPr="00144F83">
        <w:rPr>
          <w:rFonts w:ascii="Arial" w:hAnsi="Arial" w:cs="Arial"/>
          <w:sz w:val="18"/>
          <w:szCs w:val="18"/>
        </w:rPr>
        <w:t>. Może to wiązać się z praktycznymi wątpliwościami na etapie stosowania norm, czy pomimo braku ujawnienia możemy mówić o grupie spółek (definicja nie zawiera obowiązku ujawnienia w rejestrze) i wobec tego czy określone uprawnione grupy mogą dochodzić sowich praw wynikających z przepisów Działu IV.</w:t>
      </w:r>
    </w:p>
    <w:p w:rsidR="00144F83" w:rsidRPr="00144F83" w:rsidRDefault="00144F83" w:rsidP="00144F83">
      <w:pPr>
        <w:pStyle w:val="NormalnyWeb"/>
        <w:numPr>
          <w:ilvl w:val="0"/>
          <w:numId w:val="4"/>
        </w:numPr>
        <w:spacing w:line="312" w:lineRule="auto"/>
        <w:rPr>
          <w:rFonts w:ascii="Arial" w:hAnsi="Arial" w:cs="Arial"/>
          <w:b/>
          <w:bCs/>
          <w:sz w:val="18"/>
          <w:szCs w:val="18"/>
        </w:rPr>
      </w:pPr>
      <w:r w:rsidRPr="00144F83">
        <w:rPr>
          <w:rFonts w:ascii="Arial" w:hAnsi="Arial" w:cs="Arial"/>
          <w:b/>
          <w:bCs/>
          <w:sz w:val="18"/>
          <w:szCs w:val="18"/>
        </w:rPr>
        <w:t>Artykuł 21</w:t>
      </w:r>
      <w:r w:rsidRPr="00144F83">
        <w:rPr>
          <w:rFonts w:ascii="Arial" w:hAnsi="Arial" w:cs="Arial"/>
          <w:b/>
          <w:bCs/>
          <w:position w:val="8"/>
          <w:sz w:val="18"/>
          <w:szCs w:val="18"/>
        </w:rPr>
        <w:t xml:space="preserve">13 </w:t>
      </w:r>
      <w:r w:rsidRPr="00144F83">
        <w:rPr>
          <w:rFonts w:ascii="Arial" w:hAnsi="Arial" w:cs="Arial"/>
          <w:b/>
          <w:bCs/>
          <w:sz w:val="18"/>
          <w:szCs w:val="18"/>
        </w:rPr>
        <w:t>§ 1</w:t>
      </w:r>
    </w:p>
    <w:p w:rsidR="00144F83" w:rsidRPr="00144F83" w:rsidRDefault="00144F83" w:rsidP="00144F83">
      <w:pPr>
        <w:pStyle w:val="NormalnyWeb"/>
        <w:shd w:val="clear" w:color="auto" w:fill="FFFFFF"/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144F83">
        <w:rPr>
          <w:rFonts w:ascii="Arial" w:hAnsi="Arial" w:cs="Arial"/>
          <w:sz w:val="18"/>
          <w:szCs w:val="18"/>
        </w:rPr>
        <w:t>Projektowany przepis kształtuje odpowiedzialność wobec wspólnika za obniżenie wartości</w:t>
      </w:r>
      <w:r>
        <w:rPr>
          <w:rFonts w:ascii="Arial" w:hAnsi="Arial" w:cs="Arial"/>
          <w:sz w:val="18"/>
          <w:szCs w:val="18"/>
        </w:rPr>
        <w:t xml:space="preserve"> </w:t>
      </w:r>
      <w:r w:rsidRPr="00144F83">
        <w:rPr>
          <w:rFonts w:ascii="Arial" w:hAnsi="Arial" w:cs="Arial"/>
          <w:sz w:val="18"/>
          <w:szCs w:val="18"/>
        </w:rPr>
        <w:t>udziału albo akcji. Propozycja przepisu stanowi: „W przypadku, o którym mowa w art. 2112 § 1, spółka dominująca odpowiada wobec wspólnika albo akcjonariusza spółki zależnej należącej do grupy spółek za obniżenie wartości udziału albo akcji spółki zależnej przysługującego temu wspólnikowi albo akcjonariuszowi.”</w:t>
      </w:r>
    </w:p>
    <w:p w:rsidR="003024FA" w:rsidRPr="00144F83" w:rsidRDefault="00144F83" w:rsidP="00144F83">
      <w:pPr>
        <w:pStyle w:val="NormalnyWeb"/>
        <w:shd w:val="clear" w:color="auto" w:fill="FFFFFF"/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144F83">
        <w:rPr>
          <w:rFonts w:ascii="Arial" w:hAnsi="Arial" w:cs="Arial"/>
          <w:sz w:val="18"/>
          <w:szCs w:val="18"/>
        </w:rPr>
        <w:t>Proponujemy doprecyzowanie o jakiej wartości mówi ustawodawca, a jeżeli jest to wartość rynkowa to przepis winien umożliwić akcjonariuszowi możliwość ustalenia wartości rynkowej udziału albo akcji, bez którego nie będzie możliwe ustalenie wielkości szkody. Dla wspólnika mniejszościowego w praktyce niemożliwym może okazać się dostęp do danych finansowych oraz projekcji finansowych niezbędnych do przeprowadzenia wyceny i ustalenia wartości rynkowej. Ze względu również na zmiany gospodarcze ustalenie tego w postępowaniu sądowym może okazać się, że naprawienie szkody będzie niemożliwe ze względu na czas trwania postępowania mającego na celu uzyskanie niezbędnych danych dla ustalenia zmiany wartości udziałów albo akcji.</w:t>
      </w:r>
    </w:p>
    <w:p w:rsidR="003024FA" w:rsidRDefault="00144F83" w:rsidP="003024FA">
      <w:pPr>
        <w:widowControl w:val="0"/>
        <w:jc w:val="both"/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  <w:u w:val="single"/>
        </w:rPr>
        <w:t>Kontakt z ekspertką:</w:t>
      </w:r>
    </w:p>
    <w:p w:rsidR="00144F83" w:rsidRPr="00144F83" w:rsidRDefault="00144F83" w:rsidP="003024FA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</w:p>
    <w:p w:rsidR="00144F83" w:rsidRPr="00144F83" w:rsidRDefault="00144F83" w:rsidP="00144F83">
      <w:pPr>
        <w:widowControl w:val="0"/>
        <w:jc w:val="both"/>
        <w:rPr>
          <w:rFonts w:ascii="Arial" w:hAnsi="Arial" w:cs="Arial"/>
          <w:b/>
          <w:bCs/>
          <w:sz w:val="18"/>
          <w:szCs w:val="18"/>
        </w:rPr>
      </w:pPr>
      <w:r w:rsidRPr="00144F83">
        <w:rPr>
          <w:rFonts w:ascii="Arial" w:hAnsi="Arial" w:cs="Arial"/>
          <w:b/>
          <w:bCs/>
          <w:sz w:val="18"/>
          <w:szCs w:val="18"/>
        </w:rPr>
        <w:t>Agnieszka Krysik</w:t>
      </w:r>
    </w:p>
    <w:p w:rsidR="00144F83" w:rsidRPr="00144F83" w:rsidRDefault="00144F83" w:rsidP="00144F83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  <w:r w:rsidRPr="00144F83">
        <w:rPr>
          <w:rFonts w:ascii="Arial" w:hAnsi="Arial" w:cs="Arial"/>
          <w:bCs/>
          <w:sz w:val="18"/>
          <w:szCs w:val="18"/>
        </w:rPr>
        <w:t>ekspertka BCC ds. przedsiębiorczości rodzinnej i sukcesji w biznesie</w:t>
      </w:r>
    </w:p>
    <w:p w:rsidR="00144F83" w:rsidRPr="00144F83" w:rsidRDefault="00144F83" w:rsidP="00144F83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tel.</w:t>
      </w:r>
      <w:r w:rsidRPr="00144F83">
        <w:rPr>
          <w:rFonts w:ascii="Arial" w:hAnsi="Arial" w:cs="Arial"/>
          <w:bCs/>
          <w:sz w:val="18"/>
          <w:szCs w:val="18"/>
        </w:rPr>
        <w:t xml:space="preserve"> 668 810 011</w:t>
      </w:r>
    </w:p>
    <w:p w:rsidR="003024FA" w:rsidRDefault="00144F83" w:rsidP="00144F83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e-mail:</w:t>
      </w:r>
      <w:r w:rsidRPr="00144F83">
        <w:rPr>
          <w:rFonts w:ascii="Arial" w:hAnsi="Arial" w:cs="Arial"/>
          <w:bCs/>
          <w:sz w:val="18"/>
          <w:szCs w:val="18"/>
        </w:rPr>
        <w:t xml:space="preserve"> </w:t>
      </w:r>
      <w:hyperlink r:id="rId8" w:history="1">
        <w:r w:rsidRPr="001019A6">
          <w:rPr>
            <w:rStyle w:val="Hipercze"/>
            <w:rFonts w:ascii="Arial" w:hAnsi="Arial" w:cs="Arial"/>
            <w:bCs/>
            <w:sz w:val="18"/>
            <w:szCs w:val="18"/>
          </w:rPr>
          <w:t>agnieszka.krysik@bcc.org.pl</w:t>
        </w:r>
      </w:hyperlink>
    </w:p>
    <w:p w:rsidR="00144F83" w:rsidRDefault="00144F83" w:rsidP="00144F83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</w:p>
    <w:p w:rsidR="00144F83" w:rsidRDefault="00144F83" w:rsidP="00144F83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</w:p>
    <w:p w:rsidR="00144F83" w:rsidRDefault="00144F83" w:rsidP="00144F83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</w:p>
    <w:p w:rsidR="00144F83" w:rsidRDefault="00144F83" w:rsidP="00144F83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</w:p>
    <w:p w:rsidR="00144F83" w:rsidRDefault="00144F83" w:rsidP="00144F83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</w:p>
    <w:p w:rsidR="00144F83" w:rsidRDefault="00144F83" w:rsidP="00144F83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</w:p>
    <w:p w:rsidR="00144F83" w:rsidRDefault="00144F83" w:rsidP="00144F83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</w:p>
    <w:p w:rsidR="00144F83" w:rsidRDefault="00144F83" w:rsidP="00144F83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</w:p>
    <w:p w:rsidR="00144F83" w:rsidRDefault="00144F83" w:rsidP="00144F83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</w:p>
    <w:p w:rsidR="00144F83" w:rsidRDefault="00144F83" w:rsidP="00144F83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</w:p>
    <w:p w:rsidR="00144F83" w:rsidRDefault="00144F83" w:rsidP="00144F83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</w:p>
    <w:p w:rsidR="00144F83" w:rsidRDefault="00144F83" w:rsidP="00144F83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</w:p>
    <w:p w:rsidR="00144F83" w:rsidRDefault="00144F83" w:rsidP="00144F83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</w:p>
    <w:p w:rsidR="00144F83" w:rsidRDefault="00144F83" w:rsidP="00144F83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</w:p>
    <w:p w:rsidR="00144F83" w:rsidRDefault="00144F83" w:rsidP="00144F83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</w:p>
    <w:p w:rsidR="00144F83" w:rsidRPr="002E6688" w:rsidRDefault="00144F83" w:rsidP="00144F83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</w:p>
    <w:p w:rsidR="003024FA" w:rsidRPr="002E6688" w:rsidRDefault="003024FA" w:rsidP="003024FA">
      <w:pPr>
        <w:spacing w:line="100" w:lineRule="atLeast"/>
        <w:jc w:val="both"/>
        <w:rPr>
          <w:rFonts w:ascii="Arial" w:hAnsi="Arial" w:cs="Arial"/>
          <w:sz w:val="18"/>
          <w:szCs w:val="18"/>
          <w:u w:val="single"/>
        </w:rPr>
      </w:pPr>
      <w:r w:rsidRPr="002E6688">
        <w:rPr>
          <w:rFonts w:ascii="Arial" w:hAnsi="Arial" w:cs="Arial"/>
          <w:sz w:val="18"/>
          <w:szCs w:val="18"/>
          <w:u w:val="single"/>
        </w:rPr>
        <w:t>Kontakt dla mediów:</w:t>
      </w:r>
    </w:p>
    <w:p w:rsidR="003024FA" w:rsidRPr="002E6688" w:rsidRDefault="003024FA" w:rsidP="003024FA">
      <w:pPr>
        <w:spacing w:line="100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:rsidR="003024FA" w:rsidRPr="002E6688" w:rsidRDefault="003024FA" w:rsidP="003024FA">
      <w:pPr>
        <w:suppressAutoHyphens/>
        <w:spacing w:line="100" w:lineRule="atLeast"/>
        <w:rPr>
          <w:rFonts w:ascii="Arial" w:eastAsia="Arial Unicode MS" w:hAnsi="Arial" w:cs="Arial"/>
          <w:b/>
          <w:sz w:val="18"/>
          <w:szCs w:val="18"/>
          <w:lang w:eastAsia="ar-SA"/>
        </w:rPr>
      </w:pPr>
      <w:r w:rsidRPr="002E6688">
        <w:rPr>
          <w:rFonts w:ascii="Arial" w:eastAsia="Arial Unicode MS" w:hAnsi="Arial" w:cs="Arial"/>
          <w:b/>
          <w:sz w:val="18"/>
          <w:szCs w:val="18"/>
          <w:lang w:eastAsia="ar-SA"/>
        </w:rPr>
        <w:t>Emil Muciński</w:t>
      </w:r>
    </w:p>
    <w:p w:rsidR="003024FA" w:rsidRPr="002E6688" w:rsidRDefault="003024FA" w:rsidP="003024FA">
      <w:pPr>
        <w:suppressAutoHyphens/>
        <w:spacing w:line="100" w:lineRule="atLeast"/>
        <w:rPr>
          <w:rFonts w:ascii="Arial" w:eastAsia="Arial Unicode MS" w:hAnsi="Arial" w:cs="Arial"/>
          <w:sz w:val="18"/>
          <w:szCs w:val="18"/>
          <w:lang w:eastAsia="ar-SA"/>
        </w:rPr>
      </w:pPr>
      <w:r w:rsidRPr="002E6688">
        <w:rPr>
          <w:rFonts w:ascii="Arial" w:eastAsia="Arial Unicode MS" w:hAnsi="Arial" w:cs="Arial"/>
          <w:sz w:val="18"/>
          <w:szCs w:val="18"/>
          <w:lang w:eastAsia="ar-SA"/>
        </w:rPr>
        <w:t>rzecznik, Instytut Interwencji Gospodarczych BCC</w:t>
      </w:r>
    </w:p>
    <w:p w:rsidR="003024FA" w:rsidRPr="002E6688" w:rsidRDefault="003024FA" w:rsidP="003024FA">
      <w:pPr>
        <w:suppressAutoHyphens/>
        <w:spacing w:line="100" w:lineRule="atLeast"/>
        <w:rPr>
          <w:rFonts w:ascii="Arial" w:eastAsia="Arial Unicode MS" w:hAnsi="Arial" w:cs="Arial"/>
          <w:sz w:val="18"/>
          <w:szCs w:val="18"/>
          <w:lang w:val="en-US" w:eastAsia="ar-SA"/>
        </w:rPr>
      </w:pPr>
      <w:r w:rsidRPr="002E6688">
        <w:rPr>
          <w:rFonts w:ascii="Arial" w:eastAsia="Arial Unicode MS" w:hAnsi="Arial" w:cs="Arial"/>
          <w:sz w:val="18"/>
          <w:szCs w:val="18"/>
          <w:lang w:val="en-US" w:eastAsia="ar-SA"/>
        </w:rPr>
        <w:t>tel. 602 571 395, 22 58 26 113</w:t>
      </w:r>
    </w:p>
    <w:p w:rsidR="003024FA" w:rsidRDefault="003024FA" w:rsidP="003024FA">
      <w:pPr>
        <w:suppressAutoHyphens/>
        <w:spacing w:line="100" w:lineRule="atLeast"/>
      </w:pPr>
      <w:r w:rsidRPr="002E6688">
        <w:rPr>
          <w:rFonts w:ascii="Arial" w:eastAsia="Arial Unicode MS" w:hAnsi="Arial" w:cs="Arial"/>
          <w:sz w:val="18"/>
          <w:szCs w:val="18"/>
          <w:lang w:val="en-US" w:eastAsia="ar-SA"/>
        </w:rPr>
        <w:t xml:space="preserve">e-mail: </w:t>
      </w:r>
      <w:hyperlink r:id="rId9" w:history="1">
        <w:r w:rsidRPr="002E6688">
          <w:rPr>
            <w:rFonts w:ascii="Arial" w:eastAsia="Arial Unicode MS" w:hAnsi="Arial" w:cs="Arial"/>
            <w:color w:val="146CB4"/>
            <w:sz w:val="18"/>
            <w:szCs w:val="18"/>
            <w:lang w:val="en-US" w:eastAsia="ar-SA"/>
          </w:rPr>
          <w:t>emil.mucinski@bcc.org.pl</w:t>
        </w:r>
      </w:hyperlink>
      <w:r w:rsidRPr="002E6688">
        <w:rPr>
          <w:rFonts w:ascii="Arial" w:eastAsia="Arial Unicode MS" w:hAnsi="Arial" w:cs="Arial"/>
          <w:sz w:val="18"/>
          <w:szCs w:val="18"/>
          <w:lang w:val="en-US" w:eastAsia="ar-SA"/>
        </w:rPr>
        <w:t xml:space="preserve">; </w:t>
      </w:r>
      <w:hyperlink r:id="rId10" w:history="1">
        <w:r w:rsidRPr="002E6688">
          <w:rPr>
            <w:rFonts w:ascii="Arial" w:eastAsia="Arial Unicode MS" w:hAnsi="Arial" w:cs="Arial"/>
            <w:color w:val="146CB4"/>
            <w:sz w:val="18"/>
            <w:szCs w:val="18"/>
            <w:lang w:val="en-US" w:eastAsia="ar-SA"/>
          </w:rPr>
          <w:t>instytut@bcc.org.pl</w:t>
        </w:r>
      </w:hyperlink>
    </w:p>
    <w:p w:rsidR="00144F83" w:rsidRPr="002E6688" w:rsidRDefault="00144F83" w:rsidP="003024FA">
      <w:pPr>
        <w:suppressAutoHyphens/>
        <w:spacing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</w:p>
    <w:p w:rsidR="003024FA" w:rsidRDefault="003024FA" w:rsidP="003024FA">
      <w:pPr>
        <w:suppressAutoHyphens/>
        <w:spacing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</w:p>
    <w:p w:rsidR="003024FA" w:rsidRPr="00AD64EF" w:rsidRDefault="003024FA" w:rsidP="003024FA">
      <w:pPr>
        <w:pBdr>
          <w:top w:val="single" w:sz="2" w:space="6" w:color="C00000"/>
        </w:pBdr>
        <w:jc w:val="both"/>
        <w:rPr>
          <w:rFonts w:ascii="Calibri" w:eastAsia="Calibri" w:hAnsi="Calibri" w:cs="Calibri"/>
          <w:color w:val="808080" w:themeColor="background1" w:themeShade="80"/>
          <w:sz w:val="10"/>
          <w:szCs w:val="16"/>
          <w:lang w:eastAsia="en-US"/>
        </w:rPr>
      </w:pPr>
      <w:r w:rsidRPr="00AD64EF">
        <w:rPr>
          <w:rFonts w:ascii="Calibri" w:eastAsia="Calibri" w:hAnsi="Calibri" w:cs="Calibri"/>
          <w:b/>
          <w:color w:val="808080" w:themeColor="background1" w:themeShade="80"/>
          <w:sz w:val="10"/>
          <w:szCs w:val="16"/>
          <w:lang w:eastAsia="en-US"/>
        </w:rPr>
        <w:t>Business Centre Club</w:t>
      </w:r>
      <w:r w:rsidRPr="00AD64EF">
        <w:rPr>
          <w:rFonts w:ascii="Calibri" w:eastAsia="Calibri" w:hAnsi="Calibri" w:cs="Calibri"/>
          <w:color w:val="808080" w:themeColor="background1" w:themeShade="80"/>
          <w:sz w:val="10"/>
          <w:szCs w:val="16"/>
          <w:lang w:eastAsia="en-US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p w:rsidR="008A672B" w:rsidRDefault="003024FA" w:rsidP="00144F83">
      <w:pPr>
        <w:jc w:val="both"/>
      </w:pPr>
      <w:r w:rsidRPr="00AD64EF">
        <w:rPr>
          <w:rFonts w:ascii="Calibri" w:eastAsia="Calibri" w:hAnsi="Calibri" w:cs="Calibri"/>
          <w:color w:val="808080" w:themeColor="background1" w:themeShade="80"/>
          <w:sz w:val="10"/>
          <w:szCs w:val="16"/>
          <w:lang w:eastAsia="en-US"/>
        </w:rPr>
        <w:t xml:space="preserve">Kontakty prasowe: </w:t>
      </w:r>
      <w:hyperlink r:id="rId11" w:history="1">
        <w:r w:rsidRPr="00AD64EF">
          <w:rPr>
            <w:rFonts w:ascii="Calibri" w:eastAsia="Calibri" w:hAnsi="Calibri" w:cs="Calibri"/>
            <w:color w:val="808080" w:themeColor="background1" w:themeShade="80"/>
            <w:sz w:val="10"/>
            <w:szCs w:val="16"/>
            <w:lang w:eastAsia="en-US"/>
          </w:rPr>
          <w:t>https://www.bcc.org.pl/strefa_eksperta/kontakty-do-ekspertow</w:t>
        </w:r>
      </w:hyperlink>
      <w:r w:rsidRPr="00AD64EF">
        <w:rPr>
          <w:rFonts w:ascii="Calibri" w:eastAsia="Calibri" w:hAnsi="Calibri" w:cs="Calibri"/>
          <w:color w:val="808080" w:themeColor="background1" w:themeShade="80"/>
          <w:sz w:val="10"/>
          <w:szCs w:val="16"/>
          <w:lang w:eastAsia="en-US"/>
        </w:rPr>
        <w:t xml:space="preserve">, więcej: </w:t>
      </w:r>
      <w:hyperlink r:id="rId12" w:history="1">
        <w:r w:rsidRPr="00AD64EF">
          <w:rPr>
            <w:rFonts w:ascii="Calibri" w:eastAsia="Calibri" w:hAnsi="Calibri" w:cs="Calibri"/>
            <w:color w:val="808080" w:themeColor="background1" w:themeShade="80"/>
            <w:sz w:val="10"/>
            <w:szCs w:val="16"/>
            <w:lang w:eastAsia="en-US"/>
          </w:rPr>
          <w:t>https://www.bcc.org.pl/</w:t>
        </w:r>
      </w:hyperlink>
      <w:r w:rsidRPr="00AD64EF">
        <w:rPr>
          <w:rFonts w:ascii="Calibri" w:eastAsia="Calibri" w:hAnsi="Calibri" w:cs="Calibri"/>
          <w:color w:val="808080" w:themeColor="background1" w:themeShade="80"/>
          <w:sz w:val="10"/>
          <w:szCs w:val="16"/>
          <w:lang w:eastAsia="en-US"/>
        </w:rPr>
        <w:t xml:space="preserve"> oraz: </w:t>
      </w:r>
      <w:hyperlink r:id="rId13" w:history="1">
        <w:r w:rsidRPr="00AD64EF">
          <w:rPr>
            <w:rFonts w:ascii="Calibri" w:eastAsia="Calibri" w:hAnsi="Calibri" w:cs="Calibri"/>
            <w:color w:val="808080" w:themeColor="background1" w:themeShade="80"/>
            <w:sz w:val="10"/>
            <w:szCs w:val="16"/>
            <w:lang w:eastAsia="en-US"/>
          </w:rPr>
          <w:t>https://www.facebook.com/businesscentreclub</w:t>
        </w:r>
      </w:hyperlink>
    </w:p>
    <w:sectPr w:rsidR="008A672B" w:rsidSect="00C35218">
      <w:footerReference w:type="default" r:id="rId14"/>
      <w:pgSz w:w="11906" w:h="16838"/>
      <w:pgMar w:top="1135" w:right="1417" w:bottom="1135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4C7" w:rsidRDefault="009254C7">
      <w:r>
        <w:separator/>
      </w:r>
    </w:p>
  </w:endnote>
  <w:endnote w:type="continuationSeparator" w:id="1">
    <w:p w:rsidR="009254C7" w:rsidRDefault="00925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8223817"/>
      <w:docPartObj>
        <w:docPartGallery w:val="Page Numbers (Bottom of Page)"/>
        <w:docPartUnique/>
      </w:docPartObj>
    </w:sdtPr>
    <w:sdtContent>
      <w:p w:rsidR="00C35218" w:rsidRDefault="000B133E">
        <w:pPr>
          <w:pStyle w:val="Stopka"/>
          <w:jc w:val="right"/>
        </w:pPr>
        <w:r w:rsidRPr="00476E32">
          <w:rPr>
            <w:rFonts w:ascii="Arial" w:hAnsi="Arial" w:cs="Arial"/>
            <w:sz w:val="18"/>
            <w:szCs w:val="18"/>
          </w:rPr>
          <w:fldChar w:fldCharType="begin"/>
        </w:r>
        <w:r w:rsidR="00C35218" w:rsidRPr="00476E32">
          <w:rPr>
            <w:rFonts w:ascii="Arial" w:hAnsi="Arial" w:cs="Arial"/>
            <w:sz w:val="18"/>
            <w:szCs w:val="18"/>
          </w:rPr>
          <w:instrText>PAGE   \* MERGEFORMAT</w:instrText>
        </w:r>
        <w:r w:rsidRPr="00476E32">
          <w:rPr>
            <w:rFonts w:ascii="Arial" w:hAnsi="Arial" w:cs="Arial"/>
            <w:sz w:val="18"/>
            <w:szCs w:val="18"/>
          </w:rPr>
          <w:fldChar w:fldCharType="separate"/>
        </w:r>
        <w:r w:rsidR="00144F83">
          <w:rPr>
            <w:rFonts w:ascii="Arial" w:hAnsi="Arial" w:cs="Arial"/>
            <w:noProof/>
            <w:sz w:val="18"/>
            <w:szCs w:val="18"/>
          </w:rPr>
          <w:t>1</w:t>
        </w:r>
        <w:r w:rsidRPr="00476E3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35218" w:rsidRDefault="00C352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4C7" w:rsidRDefault="009254C7">
      <w:r>
        <w:separator/>
      </w:r>
    </w:p>
  </w:footnote>
  <w:footnote w:type="continuationSeparator" w:id="1">
    <w:p w:rsidR="009254C7" w:rsidRDefault="009254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5D3D"/>
    <w:multiLevelType w:val="hybridMultilevel"/>
    <w:tmpl w:val="E452D7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F2AF3"/>
    <w:multiLevelType w:val="hybridMultilevel"/>
    <w:tmpl w:val="362C93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3357B"/>
    <w:multiLevelType w:val="hybridMultilevel"/>
    <w:tmpl w:val="49F23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C66CB"/>
    <w:multiLevelType w:val="hybridMultilevel"/>
    <w:tmpl w:val="9BCC5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838AF"/>
    <w:multiLevelType w:val="hybridMultilevel"/>
    <w:tmpl w:val="89B6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F2A56"/>
    <w:multiLevelType w:val="hybridMultilevel"/>
    <w:tmpl w:val="13E6BF52"/>
    <w:lvl w:ilvl="0" w:tplc="EB5A7C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4FA"/>
    <w:rsid w:val="000B133E"/>
    <w:rsid w:val="00144F83"/>
    <w:rsid w:val="003024FA"/>
    <w:rsid w:val="00404483"/>
    <w:rsid w:val="008A672B"/>
    <w:rsid w:val="009254C7"/>
    <w:rsid w:val="00C35218"/>
    <w:rsid w:val="00C504D5"/>
    <w:rsid w:val="00CB5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4F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024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4FA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024FA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024FA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024FA"/>
    <w:pPr>
      <w:spacing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4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4FA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144F83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4F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024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4FA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024FA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024FA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024FA"/>
    <w:pPr>
      <w:spacing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4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4FA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krysik@bcc.org.pl" TargetMode="External"/><Relationship Id="rId13" Type="http://schemas.openxmlformats.org/officeDocument/2006/relationships/hyperlink" Target="https://www.facebook.com/businesscentreclu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bcc.org.pl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cc.org.pl/strefa_eksperta/kontakty-do-eksperto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stytut@bcc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il.mucinski@bcc.org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1502</Words>
  <Characters>9017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Muciński</dc:creator>
  <cp:lastModifiedBy>User</cp:lastModifiedBy>
  <cp:revision>2</cp:revision>
  <cp:lastPrinted>2020-09-17T13:23:00Z</cp:lastPrinted>
  <dcterms:created xsi:type="dcterms:W3CDTF">2020-09-21T09:36:00Z</dcterms:created>
  <dcterms:modified xsi:type="dcterms:W3CDTF">2020-09-21T09:36:00Z</dcterms:modified>
</cp:coreProperties>
</file>