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51" w:rsidRPr="00A60DED" w:rsidRDefault="00EA4751" w:rsidP="00EA4751">
      <w:pPr>
        <w:spacing w:after="0" w:line="240" w:lineRule="auto"/>
        <w:jc w:val="center"/>
        <w:rPr>
          <w:rFonts w:ascii="Calibri" w:eastAsia="Calibri" w:hAnsi="Calibri" w:cs="Times New Roman"/>
          <w:sz w:val="2"/>
          <w:szCs w:val="2"/>
        </w:rPr>
      </w:pPr>
      <w:r>
        <w:rPr>
          <w:rFonts w:ascii="Calibri" w:eastAsia="Calibri" w:hAnsi="Calibri" w:cs="Times New Roman"/>
          <w:b/>
          <w:i/>
          <w:noProof/>
          <w:color w:val="808080" w:themeColor="background1" w:themeShade="80"/>
          <w:sz w:val="24"/>
          <w:szCs w:val="24"/>
          <w:lang w:eastAsia="pl-PL"/>
        </w:rPr>
        <w:drawing>
          <wp:inline distT="0" distB="0" distL="0" distR="0" wp14:anchorId="535FDCA6" wp14:editId="1FA0AE63">
            <wp:extent cx="1941928" cy="2161365"/>
            <wp:effectExtent l="0" t="0" r="1270" b="0"/>
            <wp:docPr id="3" name="Obraz 3" descr="D:\BCC\BCC - WAŻNE INFORMACJE I LOGO\LOGO 30-LECIA BCC\BCC_2019_30_pion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CC\BCC - WAŻNE INFORMACJE I LOGO\LOGO 30-LECIA BCC\BCC_2019_30_pion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299" cy="216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51" w:rsidRPr="00A37E8B" w:rsidRDefault="00EA4751" w:rsidP="00EA4751">
      <w:pPr>
        <w:tabs>
          <w:tab w:val="left" w:pos="0"/>
          <w:tab w:val="left" w:pos="8647"/>
          <w:tab w:val="left" w:pos="9072"/>
        </w:tabs>
        <w:spacing w:after="0" w:line="360" w:lineRule="auto"/>
        <w:jc w:val="center"/>
        <w:rPr>
          <w:rFonts w:ascii="Calibri" w:eastAsia="Calibri" w:hAnsi="Calibri" w:cs="Times New Roman"/>
          <w:b/>
          <w:i/>
          <w:noProof/>
          <w:color w:val="808080" w:themeColor="background1" w:themeShade="80"/>
          <w:sz w:val="18"/>
          <w:szCs w:val="24"/>
          <w:lang w:eastAsia="pl-PL"/>
        </w:rPr>
      </w:pPr>
    </w:p>
    <w:p w:rsidR="00EA4751" w:rsidRPr="00A12101" w:rsidRDefault="00EA4751" w:rsidP="00EA4751">
      <w:pPr>
        <w:tabs>
          <w:tab w:val="left" w:pos="0"/>
          <w:tab w:val="left" w:pos="8647"/>
          <w:tab w:val="left" w:pos="9072"/>
        </w:tabs>
        <w:spacing w:after="120" w:line="360" w:lineRule="auto"/>
        <w:jc w:val="right"/>
        <w:rPr>
          <w:rFonts w:ascii="Arial" w:eastAsia="Times New Roman" w:hAnsi="Arial" w:cs="Times New Roman"/>
          <w:sz w:val="16"/>
          <w:szCs w:val="20"/>
          <w:lang w:val="x-none" w:eastAsia="x-none"/>
        </w:rPr>
      </w:pPr>
      <w:r>
        <w:rPr>
          <w:rFonts w:ascii="Arial" w:eastAsia="Times New Roman" w:hAnsi="Arial" w:cs="Times New Roman"/>
          <w:sz w:val="16"/>
          <w:szCs w:val="20"/>
          <w:lang w:val="x-none" w:eastAsia="x-none"/>
        </w:rPr>
        <w:t xml:space="preserve">Warszawa, </w:t>
      </w:r>
      <w:r w:rsidR="0059264D">
        <w:rPr>
          <w:rFonts w:ascii="Arial" w:eastAsia="Times New Roman" w:hAnsi="Arial" w:cs="Times New Roman"/>
          <w:sz w:val="16"/>
          <w:szCs w:val="20"/>
          <w:lang w:eastAsia="x-none"/>
        </w:rPr>
        <w:t xml:space="preserve">20 </w:t>
      </w:r>
      <w:r>
        <w:rPr>
          <w:rFonts w:ascii="Arial" w:eastAsia="Times New Roman" w:hAnsi="Arial" w:cs="Times New Roman"/>
          <w:sz w:val="16"/>
          <w:szCs w:val="20"/>
          <w:lang w:eastAsia="x-none"/>
        </w:rPr>
        <w:t xml:space="preserve">kwietnia </w:t>
      </w:r>
      <w:r w:rsidRPr="00A12101">
        <w:rPr>
          <w:rFonts w:ascii="Arial" w:eastAsia="Times New Roman" w:hAnsi="Arial" w:cs="Times New Roman"/>
          <w:sz w:val="16"/>
          <w:szCs w:val="20"/>
          <w:lang w:eastAsia="x-none"/>
        </w:rPr>
        <w:t>2</w:t>
      </w:r>
      <w:r w:rsidRPr="00A12101">
        <w:rPr>
          <w:rFonts w:ascii="Arial" w:eastAsia="Times New Roman" w:hAnsi="Arial" w:cs="Times New Roman"/>
          <w:sz w:val="16"/>
          <w:szCs w:val="20"/>
          <w:lang w:val="x-none" w:eastAsia="x-none"/>
        </w:rPr>
        <w:t>0</w:t>
      </w:r>
      <w:r w:rsidRPr="00A12101">
        <w:rPr>
          <w:rFonts w:ascii="Arial" w:eastAsia="Times New Roman" w:hAnsi="Arial" w:cs="Times New Roman"/>
          <w:sz w:val="16"/>
          <w:szCs w:val="20"/>
          <w:lang w:eastAsia="x-none"/>
        </w:rPr>
        <w:t>21</w:t>
      </w:r>
      <w:r w:rsidRPr="00A12101">
        <w:rPr>
          <w:rFonts w:ascii="Arial" w:eastAsia="Times New Roman" w:hAnsi="Arial" w:cs="Times New Roman"/>
          <w:sz w:val="16"/>
          <w:szCs w:val="20"/>
          <w:lang w:val="x-none" w:eastAsia="x-none"/>
        </w:rPr>
        <w:t xml:space="preserve"> r.</w:t>
      </w:r>
    </w:p>
    <w:p w:rsidR="00EA4751" w:rsidRPr="002F635E" w:rsidRDefault="00385526" w:rsidP="00EA475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0"/>
          <w:tab w:val="left" w:pos="8647"/>
          <w:tab w:val="lef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color w:val="003366"/>
          <w:sz w:val="48"/>
          <w:szCs w:val="4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mallCaps/>
          <w:color w:val="003366"/>
          <w:sz w:val="48"/>
          <w:szCs w:val="48"/>
          <w:lang w:eastAsia="x-none"/>
        </w:rPr>
        <w:t>Opinia</w:t>
      </w:r>
    </w:p>
    <w:p w:rsidR="0059264D" w:rsidRDefault="0059264D" w:rsidP="00EA4751">
      <w:pP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bookmarkStart w:id="0" w:name="OLE_LINK1"/>
      <w:bookmarkStart w:id="1" w:name="OLE_LINK2"/>
      <w:bookmarkStart w:id="2" w:name="OLE_LINK3"/>
    </w:p>
    <w:p w:rsidR="00970FB3" w:rsidRDefault="00970FB3" w:rsidP="00EA4751">
      <w:pP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59264D" w:rsidRPr="00A12CFE" w:rsidRDefault="00970FB3" w:rsidP="00A12CFE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A12CFE">
        <w:rPr>
          <w:rFonts w:ascii="Arial" w:hAnsi="Arial" w:cs="Arial"/>
          <w:b/>
          <w:sz w:val="18"/>
          <w:szCs w:val="18"/>
        </w:rPr>
        <w:t>Problem zgonów nadmiarowych w wymiarze zdrowia publicznego jest bardzo poważny</w:t>
      </w:r>
      <w:r w:rsidR="00A12CFE">
        <w:rPr>
          <w:rFonts w:ascii="Arial" w:hAnsi="Arial" w:cs="Arial"/>
          <w:b/>
          <w:sz w:val="18"/>
          <w:szCs w:val="18"/>
        </w:rPr>
        <w:t xml:space="preserve"> – o</w:t>
      </w:r>
      <w:r w:rsidRPr="00A12CFE">
        <w:rPr>
          <w:rFonts w:ascii="Arial" w:hAnsi="Arial" w:cs="Arial"/>
          <w:b/>
          <w:sz w:val="18"/>
          <w:szCs w:val="18"/>
        </w:rPr>
        <w:t>brazuje on przeciążenie systemu ochrony zdrowia</w:t>
      </w:r>
      <w:r w:rsidR="00A12CFE">
        <w:rPr>
          <w:rFonts w:ascii="Arial" w:hAnsi="Arial" w:cs="Arial"/>
          <w:b/>
          <w:sz w:val="18"/>
          <w:szCs w:val="18"/>
        </w:rPr>
        <w:t>, a k</w:t>
      </w:r>
      <w:r w:rsidRPr="00A12CF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ryzys wywołany pandemią ujawnił </w:t>
      </w:r>
      <w:r w:rsidR="00A12CFE">
        <w:rPr>
          <w:rFonts w:ascii="Arial" w:eastAsia="Times New Roman" w:hAnsi="Arial" w:cs="Arial"/>
          <w:b/>
          <w:sz w:val="18"/>
          <w:szCs w:val="18"/>
          <w:lang w:eastAsia="pl-PL"/>
        </w:rPr>
        <w:t>wiele problemów</w:t>
      </w:r>
    </w:p>
    <w:p w:rsidR="00385526" w:rsidRDefault="0059264D" w:rsidP="001D2FF4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59264D">
        <w:rPr>
          <w:rFonts w:ascii="Arial" w:hAnsi="Arial" w:cs="Arial"/>
          <w:sz w:val="18"/>
          <w:szCs w:val="18"/>
        </w:rPr>
        <w:t xml:space="preserve">Sytuacja epidemiologiczna w zakresie COVID-19 obciążyła system ochrony zdrowia we wszystkich krajach. Wyzwania finansowe i logistyczne w związku z koniecznością podjęcia intensywnej walki z pandemią spowodowały rotację i redystrybucję wszystkich posiadanych zasobów. W przypadku COVID-19 droga od endemii, przez epidemię, aż do pandemii okazała się niestety być bardzo krótka i szybko ją pokonaliśmy.  </w:t>
      </w:r>
    </w:p>
    <w:p w:rsidR="00385526" w:rsidRDefault="00385526" w:rsidP="001D2FF4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</w:p>
    <w:p w:rsidR="00385526" w:rsidRDefault="0059264D" w:rsidP="001D2FF4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59264D">
        <w:rPr>
          <w:rFonts w:ascii="Arial" w:hAnsi="Arial" w:cs="Arial"/>
          <w:sz w:val="18"/>
          <w:szCs w:val="18"/>
        </w:rPr>
        <w:t xml:space="preserve">W Polsce, począwszy od dnia pojawienia się pierwszego przypadku do 17 kwietnia br., odnotowano 2,68 mln </w:t>
      </w:r>
      <w:proofErr w:type="spellStart"/>
      <w:r w:rsidRPr="0059264D">
        <w:rPr>
          <w:rFonts w:ascii="Arial" w:hAnsi="Arial" w:cs="Arial"/>
          <w:sz w:val="18"/>
          <w:szCs w:val="18"/>
        </w:rPr>
        <w:t>zachorowań</w:t>
      </w:r>
      <w:proofErr w:type="spellEnd"/>
      <w:r w:rsidRPr="0059264D">
        <w:rPr>
          <w:rFonts w:ascii="Arial" w:hAnsi="Arial" w:cs="Arial"/>
          <w:sz w:val="18"/>
          <w:szCs w:val="18"/>
        </w:rPr>
        <w:t>, co stanowi ok.7,1% populacji naszego kraju. Dla porównania</w:t>
      </w:r>
      <w:r w:rsidR="00385526">
        <w:rPr>
          <w:rFonts w:ascii="Arial" w:hAnsi="Arial" w:cs="Arial"/>
          <w:sz w:val="18"/>
          <w:szCs w:val="18"/>
        </w:rPr>
        <w:t>,</w:t>
      </w:r>
      <w:r w:rsidRPr="0059264D">
        <w:rPr>
          <w:rFonts w:ascii="Arial" w:hAnsi="Arial" w:cs="Arial"/>
          <w:sz w:val="18"/>
          <w:szCs w:val="18"/>
        </w:rPr>
        <w:t xml:space="preserve"> we Francji od początku pandemii odnotowano 5,26 mln przypadków (ok. 7,9% populacji), zaś w Stanach Zjednoczonych 31,6 mln (ok. 9,6% ogółu ludności). Z punktu widzenia oceny stanu zdrowia populacji, oprócz analizy natężenia zapadalności na COVID-19, warto jednak odnieść się również do śmiertelności wywołanej wirusem. Liczba zgonów z tej przyczyny zarejestrowana w wyżej wymienionych państwach wynosiła odpowiednio: 61 825; 101 000 i 566 000. Wskaźnik śmiertelności (odsetek zgonów z powodu </w:t>
      </w:r>
      <w:proofErr w:type="spellStart"/>
      <w:r w:rsidRPr="0059264D">
        <w:rPr>
          <w:rFonts w:ascii="Arial" w:hAnsi="Arial" w:cs="Arial"/>
          <w:sz w:val="18"/>
          <w:szCs w:val="18"/>
        </w:rPr>
        <w:t>koronawirusa</w:t>
      </w:r>
      <w:proofErr w:type="spellEnd"/>
      <w:r w:rsidRPr="0059264D">
        <w:rPr>
          <w:rFonts w:ascii="Arial" w:hAnsi="Arial" w:cs="Arial"/>
          <w:sz w:val="18"/>
          <w:szCs w:val="18"/>
        </w:rPr>
        <w:t xml:space="preserve"> w subpopulacji osób chorujących) wyniósł zatem kolejno: 2,3%; 1,9% i 1,8%, co dowodzi nieco gorszej sytuacji w Polsce w tym zakresie. </w:t>
      </w:r>
    </w:p>
    <w:p w:rsidR="00385526" w:rsidRDefault="00385526" w:rsidP="001D2FF4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</w:p>
    <w:p w:rsidR="00385526" w:rsidRDefault="0059264D" w:rsidP="001D2FF4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59264D">
        <w:rPr>
          <w:rFonts w:ascii="Arial" w:hAnsi="Arial" w:cs="Arial"/>
          <w:sz w:val="18"/>
          <w:szCs w:val="18"/>
        </w:rPr>
        <w:t xml:space="preserve">Niekorzystny dla naszego kraju bilans dowodzi pewnych deficytów. Trudno jednoznacznie odpowiedzieć na pytanie co jest ich powodem. Jako jeden z wielu wymienia się niedoskonałość systemu ochrony zdrowia, aczkolwiek wydaje się, że problem jest nieco bardziej złożony i dotyczy również indywidualnych i społecznych postaw wobec pandemii. Wyraźnie spada bowiem częstość zjawiska, które w epidemiologii nazywa się wyrażaniem potrzeb zdrowotnych, wizualizowanego pod postacią góry lodowej </w:t>
      </w:r>
      <w:r w:rsidRPr="0059264D">
        <w:rPr>
          <w:rFonts w:ascii="Arial" w:hAnsi="Arial" w:cs="Arial"/>
          <w:i/>
          <w:sz w:val="18"/>
          <w:szCs w:val="18"/>
        </w:rPr>
        <w:t>Logana</w:t>
      </w:r>
      <w:r w:rsidRPr="0059264D">
        <w:rPr>
          <w:rFonts w:ascii="Arial" w:hAnsi="Arial" w:cs="Arial"/>
          <w:sz w:val="18"/>
          <w:szCs w:val="18"/>
        </w:rPr>
        <w:t>. Eksperci podkreślają, że w ostatnim czasie ludzie nie przyznają się do posiadania objawów, mogących świadczyć o zakażeniu, nie zgłaszają się po pomoc medyczną i nie poddają się badaniom. Niestety</w:t>
      </w:r>
      <w:r w:rsidR="00385526">
        <w:rPr>
          <w:rFonts w:ascii="Arial" w:hAnsi="Arial" w:cs="Arial"/>
          <w:sz w:val="18"/>
          <w:szCs w:val="18"/>
        </w:rPr>
        <w:t>,</w:t>
      </w:r>
      <w:r w:rsidRPr="005926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264D">
        <w:rPr>
          <w:rFonts w:ascii="Arial" w:hAnsi="Arial" w:cs="Arial"/>
          <w:sz w:val="18"/>
          <w:szCs w:val="18"/>
        </w:rPr>
        <w:t>koronawirus</w:t>
      </w:r>
      <w:proofErr w:type="spellEnd"/>
      <w:r w:rsidRPr="0059264D">
        <w:rPr>
          <w:rFonts w:ascii="Arial" w:hAnsi="Arial" w:cs="Arial"/>
          <w:sz w:val="18"/>
          <w:szCs w:val="18"/>
        </w:rPr>
        <w:t xml:space="preserve"> niejednokrotnie pokazał swoją podstępność. Początki bywają często bezobjawowe lub o lekkich objawach, co usypia czujność pacjenta, powoduje że łatwo przeoczyć punkt w czasie, po którym stan zdrowia ulega gwałtownemu pogorszeniu i często wymaga hospitalizacji. Wiara w lekki przebieg choroby i możliwość jej „zaleczenia” przy stosowaniu tradycyjnych metod lub suplementacji, a także obawa przed utratą pracy, czy też kwarantanną powodują, że pacjenci trafiają pod opiekę lekarską w zaawansowanym stadium choroby. Co prawda</w:t>
      </w:r>
      <w:r w:rsidR="00385526">
        <w:rPr>
          <w:rFonts w:ascii="Arial" w:hAnsi="Arial" w:cs="Arial"/>
          <w:sz w:val="18"/>
          <w:szCs w:val="18"/>
        </w:rPr>
        <w:t>,</w:t>
      </w:r>
      <w:r w:rsidRPr="0059264D">
        <w:rPr>
          <w:rFonts w:ascii="Arial" w:hAnsi="Arial" w:cs="Arial"/>
          <w:sz w:val="18"/>
          <w:szCs w:val="18"/>
        </w:rPr>
        <w:t xml:space="preserve"> dogłębna analiza zagadnień związanych z COVID-19 i jego konsekwencji w wymiarze populacyjnym będzie możliwa dopiero po pewnym czasie, jednak już dziś można z pewnością stwierdzić, że pandemia wygenerowała nie tylko skutki zdrowotne w postaci </w:t>
      </w:r>
      <w:proofErr w:type="spellStart"/>
      <w:r w:rsidRPr="0059264D">
        <w:rPr>
          <w:rFonts w:ascii="Arial" w:hAnsi="Arial" w:cs="Arial"/>
          <w:sz w:val="18"/>
          <w:szCs w:val="18"/>
        </w:rPr>
        <w:t>zachorowań</w:t>
      </w:r>
      <w:proofErr w:type="spellEnd"/>
      <w:r w:rsidRPr="0059264D">
        <w:rPr>
          <w:rFonts w:ascii="Arial" w:hAnsi="Arial" w:cs="Arial"/>
          <w:sz w:val="18"/>
          <w:szCs w:val="18"/>
        </w:rPr>
        <w:t xml:space="preserve"> i zgonów spowodowanych wirusem</w:t>
      </w:r>
      <w:r w:rsidR="00385526">
        <w:rPr>
          <w:rFonts w:ascii="Arial" w:hAnsi="Arial" w:cs="Arial"/>
          <w:sz w:val="18"/>
          <w:szCs w:val="18"/>
        </w:rPr>
        <w:t>,</w:t>
      </w:r>
      <w:r w:rsidRPr="0059264D">
        <w:rPr>
          <w:rFonts w:ascii="Arial" w:hAnsi="Arial" w:cs="Arial"/>
          <w:sz w:val="18"/>
          <w:szCs w:val="18"/>
        </w:rPr>
        <w:t xml:space="preserve"> ale boleśnie dotknęła również innych obszarów stanu zdrowia i systemu opieki zdrowotnej, który z definicji nakierowany jest na zabezpieczanie potrzeb zdrowotnych społeczeństwa. </w:t>
      </w:r>
    </w:p>
    <w:p w:rsidR="00385526" w:rsidRDefault="00385526" w:rsidP="001D2FF4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</w:p>
    <w:p w:rsidR="0059264D" w:rsidRPr="001D2FF4" w:rsidRDefault="0059264D" w:rsidP="001D2FF4">
      <w:pPr>
        <w:spacing w:after="0" w:line="312" w:lineRule="auto"/>
        <w:jc w:val="both"/>
        <w:rPr>
          <w:rFonts w:ascii="Arial" w:hAnsi="Arial" w:cs="Arial"/>
          <w:b/>
          <w:sz w:val="18"/>
          <w:szCs w:val="18"/>
        </w:rPr>
      </w:pPr>
      <w:r w:rsidRPr="001D2FF4">
        <w:rPr>
          <w:rFonts w:ascii="Arial" w:hAnsi="Arial" w:cs="Arial"/>
          <w:b/>
          <w:sz w:val="18"/>
          <w:szCs w:val="18"/>
        </w:rPr>
        <w:lastRenderedPageBreak/>
        <w:t>Dane statystyczne opublikowane przeze Eurostat niestety potwierdzają, że również w tym względzie Polska będzie zmagała się z koniecznością podjęcia działań naprawczych, a właściwie chcąc uniknąć efektu domina powinna je podjąć już teraz.</w:t>
      </w:r>
    </w:p>
    <w:p w:rsidR="00385526" w:rsidRPr="0059264D" w:rsidRDefault="00385526" w:rsidP="001D2FF4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</w:p>
    <w:p w:rsidR="00385526" w:rsidRDefault="001D2FF4" w:rsidP="001D2FF4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5E09CE9" wp14:editId="64F06099">
            <wp:simplePos x="0" y="0"/>
            <wp:positionH relativeFrom="margin">
              <wp:posOffset>125095</wp:posOffset>
            </wp:positionH>
            <wp:positionV relativeFrom="page">
              <wp:posOffset>2720340</wp:posOffset>
            </wp:positionV>
            <wp:extent cx="5491480" cy="2388235"/>
            <wp:effectExtent l="0" t="0" r="13970" b="12065"/>
            <wp:wrapTight wrapText="bothSides">
              <wp:wrapPolygon edited="0">
                <wp:start x="0" y="0"/>
                <wp:lineTo x="0" y="21537"/>
                <wp:lineTo x="21580" y="21537"/>
                <wp:lineTo x="21580" y="0"/>
                <wp:lineTo x="0" y="0"/>
              </wp:wrapPolygon>
            </wp:wrapTight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64D" w:rsidRPr="0059264D">
        <w:rPr>
          <w:rFonts w:ascii="Arial" w:hAnsi="Arial" w:cs="Arial"/>
          <w:sz w:val="18"/>
          <w:szCs w:val="18"/>
        </w:rPr>
        <w:t xml:space="preserve">Przedstawione na wykresie zgony nadmiarowe pokazują dynamikę umieralności w okresie pandemii w stosunku do poziomu umieralności w latach 2016-2019. Wyznaczone w ten sposób wskaźniki mogą stanowić podstawę do oceny sytuacji epidemiologicznej w tym zakresie. Dane o zgonach stanowią bowiem najbardziej wiarygodne </w:t>
      </w:r>
      <w:r w:rsidR="00385526" w:rsidRPr="0059264D">
        <w:rPr>
          <w:rFonts w:ascii="Arial" w:hAnsi="Arial" w:cs="Arial"/>
          <w:sz w:val="18"/>
          <w:szCs w:val="18"/>
        </w:rPr>
        <w:t xml:space="preserve">wtórne źródło informacji o stanie zdrowia (z uwagi na ich kompletność i obligatoryjność), choć nie są pozbawione wad ponieważ nie należy jednocześnie zapominać o zjawisku </w:t>
      </w:r>
      <w:proofErr w:type="spellStart"/>
      <w:r w:rsidR="00385526" w:rsidRPr="0059264D">
        <w:rPr>
          <w:rFonts w:ascii="Arial" w:hAnsi="Arial" w:cs="Arial"/>
          <w:i/>
          <w:sz w:val="18"/>
          <w:szCs w:val="18"/>
        </w:rPr>
        <w:t>garbage</w:t>
      </w:r>
      <w:proofErr w:type="spellEnd"/>
      <w:r w:rsidR="00385526" w:rsidRPr="0059264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385526" w:rsidRPr="0059264D">
        <w:rPr>
          <w:rFonts w:ascii="Arial" w:hAnsi="Arial" w:cs="Arial"/>
          <w:i/>
          <w:sz w:val="18"/>
          <w:szCs w:val="18"/>
        </w:rPr>
        <w:t>codes</w:t>
      </w:r>
      <w:proofErr w:type="spellEnd"/>
      <w:r w:rsidR="00385526" w:rsidRPr="0059264D">
        <w:rPr>
          <w:rFonts w:ascii="Arial" w:hAnsi="Arial" w:cs="Arial"/>
          <w:sz w:val="18"/>
          <w:szCs w:val="18"/>
        </w:rPr>
        <w:t>. Według danych Europejskiego Urzędu Statystycznego odsetek zgonów - wyznaczony jako średnia miesięcznych wzrostów - od marca 2020 r. do stycznia 2021 r. wyniósł w Polsce 23,5%, co stawia nasz kraj na niechlubnym ostatnim miejscu.</w:t>
      </w:r>
    </w:p>
    <w:p w:rsidR="001D2FF4" w:rsidRPr="00385526" w:rsidRDefault="00385526" w:rsidP="00385526">
      <w:pPr>
        <w:spacing w:line="360" w:lineRule="auto"/>
        <w:jc w:val="both"/>
        <w:rPr>
          <w:i/>
          <w:sz w:val="16"/>
        </w:rPr>
      </w:pPr>
      <w:r w:rsidRPr="00385526">
        <w:rPr>
          <w:i/>
          <w:sz w:val="16"/>
        </w:rPr>
        <w:t>Źródło: opr. własne na podstawie danych Eurostat, 2021</w:t>
      </w:r>
    </w:p>
    <w:p w:rsidR="00970FB3" w:rsidRDefault="001D2FF4" w:rsidP="001D2FF4">
      <w:pPr>
        <w:spacing w:line="312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D2FF4">
        <w:rPr>
          <w:rFonts w:ascii="Arial" w:hAnsi="Arial" w:cs="Arial"/>
          <w:sz w:val="18"/>
          <w:szCs w:val="18"/>
        </w:rPr>
        <w:t xml:space="preserve">Dane Głównego Urzędu Statystycznego wskazują ogólną liczbę zgonów nadmiarowych w Polsce w okresie pandemii (marzec 2020 – marzec 2021) na poziomie 103 378 (średni miesięczny wzrost wyniósł 23%) Miesiącami krytycznymi były w analizowanym okresie kolejno: listopad, październik i grudzień 2020 oraz marzec 2021. Powody tych negatywnych zmian w stanie zdrowia mierzonych poziomem umieralności są złożone, podobnie jak konsekwencje. Jako jedną z przyczyn należy niewątpliwie wskazać sam COVID-19, jednak nie tylko. </w:t>
      </w:r>
      <w:r w:rsidRPr="001D2FF4">
        <w:rPr>
          <w:rFonts w:ascii="Arial" w:hAnsi="Arial" w:cs="Arial"/>
          <w:b/>
          <w:sz w:val="18"/>
          <w:szCs w:val="18"/>
        </w:rPr>
        <w:t>Pandemia ujawniła wszystkie najsłabsze ogniwa systemu ochrony zdrowia, których rozpad spowodował, że Polacy zaczęli umierać częściej również z innych przyczyn</w:t>
      </w:r>
      <w:r w:rsidRPr="001D2FF4">
        <w:rPr>
          <w:rFonts w:ascii="Arial" w:hAnsi="Arial" w:cs="Arial"/>
          <w:sz w:val="18"/>
          <w:szCs w:val="18"/>
        </w:rPr>
        <w:t xml:space="preserve">. Wzrósł odsetek tzw. zgonów możliwych do uniknięcia. Dane Ministerstwa Zdrowia wskazują, że zakażenia SARS-CoV-2 wyjaśniają ok. 43% nadwyżki zgonów (głównie w grupie osób 60+), zaś 30% nadwyżki stanowią zgony niezwiązane klinicznie z zakażeniem. Aby zobrazować skalę zjawiska zgonów nadmiarowych można porównać ją z roczną liczbą zgonów z powodu najważniejszych przyczyn. W Polsce, w świetle najbardziej aktualnych danych wynosi ona ok. 180 tys. z powodu chorób układu krążenia i ok. 100 tys. z powodu nowotworów, co pokazuje że problem zgonów nadmiarowych w wymiarze zdrowia publicznego jest bardzo poważny. Obrazuje on przeciążenie systemu ochrony zdrowia. </w:t>
      </w:r>
      <w:r w:rsidRPr="001D2FF4">
        <w:rPr>
          <w:rFonts w:ascii="Arial" w:eastAsia="Times New Roman" w:hAnsi="Arial" w:cs="Arial"/>
          <w:sz w:val="18"/>
          <w:szCs w:val="18"/>
          <w:lang w:eastAsia="pl-PL"/>
        </w:rPr>
        <w:t xml:space="preserve">Kryzys wywołany pandemią ujawnił wiele problemów. </w:t>
      </w:r>
    </w:p>
    <w:p w:rsidR="00CE2DF0" w:rsidRPr="00A12CFE" w:rsidRDefault="001D2FF4" w:rsidP="001D2FF4">
      <w:pPr>
        <w:spacing w:line="312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D2FF4">
        <w:rPr>
          <w:rFonts w:ascii="Arial" w:eastAsia="Times New Roman" w:hAnsi="Arial" w:cs="Arial"/>
          <w:sz w:val="18"/>
          <w:szCs w:val="18"/>
          <w:lang w:eastAsia="pl-PL"/>
        </w:rPr>
        <w:t xml:space="preserve">Już pierwsza jej fala wskazywała na potrzebę podjęcia określonych działań w celu poprawy funkcjonowania systemu. </w:t>
      </w:r>
      <w:r w:rsidR="00CE2DF0" w:rsidRPr="00CE2DF0">
        <w:rPr>
          <w:rFonts w:ascii="Arial" w:eastAsia="Times New Roman" w:hAnsi="Arial" w:cs="Arial"/>
          <w:sz w:val="18"/>
          <w:szCs w:val="18"/>
          <w:lang w:eastAsia="pl-PL"/>
        </w:rPr>
        <w:t>Jako najważniejsze elementy należy wskazać wzrost nakładów publicznych, bez któr</w:t>
      </w:r>
      <w:r w:rsidR="00CE2DF0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="00CE2DF0" w:rsidRPr="00CE2DF0">
        <w:rPr>
          <w:rFonts w:ascii="Arial" w:eastAsia="Times New Roman" w:hAnsi="Arial" w:cs="Arial"/>
          <w:sz w:val="18"/>
          <w:szCs w:val="18"/>
          <w:lang w:eastAsia="pl-PL"/>
        </w:rPr>
        <w:t xml:space="preserve"> zadłużenie szpitali dalej będzie dynamicznie rosło. Konieczność wzrostu finansowania wynika wprost z uzasadnienia do wyroku Trybunału Konstytucyjnego K4/17 z 20 listopada 2019 r., który wskazał, że głównym źródłem problemów finansowych jest niedoszacowanie wartości świadczeń opieki zdrowotnej finansowanych przez N</w:t>
      </w:r>
      <w:r w:rsidR="00A12CFE">
        <w:rPr>
          <w:rFonts w:ascii="Arial" w:eastAsia="Times New Roman" w:hAnsi="Arial" w:cs="Arial"/>
          <w:sz w:val="18"/>
          <w:szCs w:val="18"/>
          <w:lang w:eastAsia="pl-PL"/>
        </w:rPr>
        <w:t xml:space="preserve">arodowy </w:t>
      </w:r>
      <w:r w:rsidR="00CE2DF0" w:rsidRPr="00CE2DF0">
        <w:rPr>
          <w:rFonts w:ascii="Arial" w:eastAsia="Times New Roman" w:hAnsi="Arial" w:cs="Arial"/>
          <w:sz w:val="18"/>
          <w:szCs w:val="18"/>
          <w:lang w:eastAsia="pl-PL"/>
        </w:rPr>
        <w:t>F</w:t>
      </w:r>
      <w:r w:rsidR="00A12CFE">
        <w:rPr>
          <w:rFonts w:ascii="Arial" w:eastAsia="Times New Roman" w:hAnsi="Arial" w:cs="Arial"/>
          <w:sz w:val="18"/>
          <w:szCs w:val="18"/>
          <w:lang w:eastAsia="pl-PL"/>
        </w:rPr>
        <w:t xml:space="preserve">undusz </w:t>
      </w:r>
      <w:r w:rsidR="00CE2DF0" w:rsidRPr="00CE2DF0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A12CFE">
        <w:rPr>
          <w:rFonts w:ascii="Arial" w:eastAsia="Times New Roman" w:hAnsi="Arial" w:cs="Arial"/>
          <w:sz w:val="18"/>
          <w:szCs w:val="18"/>
          <w:lang w:eastAsia="pl-PL"/>
        </w:rPr>
        <w:t>drowia</w:t>
      </w:r>
      <w:r w:rsidR="00CE2DF0" w:rsidRPr="00CE2DF0">
        <w:rPr>
          <w:rFonts w:ascii="Arial" w:eastAsia="Times New Roman" w:hAnsi="Arial" w:cs="Arial"/>
          <w:sz w:val="18"/>
          <w:szCs w:val="18"/>
          <w:lang w:eastAsia="pl-PL"/>
        </w:rPr>
        <w:t xml:space="preserve">. Środki otrzymywane przez szpitale nie pokrywają realnych kosztów udzielanych świadczeń, a różnica </w:t>
      </w:r>
      <w:r w:rsidR="00A12CFE">
        <w:rPr>
          <w:rFonts w:ascii="Arial" w:eastAsia="Times New Roman" w:hAnsi="Arial" w:cs="Arial"/>
          <w:sz w:val="18"/>
          <w:szCs w:val="18"/>
          <w:lang w:eastAsia="pl-PL"/>
        </w:rPr>
        <w:t xml:space="preserve">ta </w:t>
      </w:r>
      <w:r w:rsidR="00CE2DF0" w:rsidRPr="00CE2DF0">
        <w:rPr>
          <w:rFonts w:ascii="Arial" w:eastAsia="Times New Roman" w:hAnsi="Arial" w:cs="Arial"/>
          <w:sz w:val="18"/>
          <w:szCs w:val="18"/>
          <w:lang w:eastAsia="pl-PL"/>
        </w:rPr>
        <w:t xml:space="preserve">generuje dynamiczne ich zadłużenie. </w:t>
      </w:r>
      <w:r w:rsidR="00CE2DF0" w:rsidRPr="00A12CFE">
        <w:rPr>
          <w:rFonts w:ascii="Arial" w:eastAsia="Times New Roman" w:hAnsi="Arial" w:cs="Arial"/>
          <w:b/>
          <w:sz w:val="18"/>
          <w:szCs w:val="18"/>
          <w:lang w:eastAsia="pl-PL"/>
        </w:rPr>
        <w:t>Ministerstwo Zdrowia powinno dokonać niezwłocznej rewizji systemu realnej i rzeczywistej wyceny świadczeń oraz procedury jej aktualizacji</w:t>
      </w:r>
      <w:r w:rsidR="00CE2DF0" w:rsidRPr="00CE2DF0">
        <w:rPr>
          <w:rFonts w:ascii="Arial" w:eastAsia="Times New Roman" w:hAnsi="Arial" w:cs="Arial"/>
          <w:sz w:val="18"/>
          <w:szCs w:val="18"/>
          <w:lang w:eastAsia="pl-PL"/>
        </w:rPr>
        <w:t xml:space="preserve">. Na wadliwość finansowania zwróciła również uwagę Najwyższa Izba Kontroli. </w:t>
      </w:r>
      <w:r w:rsidR="00CE2DF0" w:rsidRPr="00A12CFE">
        <w:rPr>
          <w:rFonts w:ascii="Arial" w:eastAsia="Times New Roman" w:hAnsi="Arial" w:cs="Arial"/>
          <w:b/>
          <w:sz w:val="18"/>
          <w:szCs w:val="18"/>
          <w:lang w:eastAsia="pl-PL"/>
        </w:rPr>
        <w:t>Środki przekazywane szpitalom przez NFZ są nieadekwatne do rzeczywistych nakładów na świadczenia, co z kolei przekłada się na dostępność do świadczeń i w efekcie naruszenie konstytucyjnej zasady równości.</w:t>
      </w:r>
      <w:r w:rsidR="00CE2DF0" w:rsidRPr="00CE2DF0">
        <w:rPr>
          <w:rFonts w:ascii="Arial" w:eastAsia="Times New Roman" w:hAnsi="Arial" w:cs="Arial"/>
          <w:sz w:val="18"/>
          <w:szCs w:val="18"/>
          <w:lang w:eastAsia="pl-PL"/>
        </w:rPr>
        <w:t xml:space="preserve"> Ochrona zdrowia pozostaje głęboko strukturalnie niedofinansowana, a Ministerstwo Zdrowia jak dotąd nie zajęło w tej sprawie stanowiska. Niezbędna </w:t>
      </w:r>
      <w:r w:rsidR="00CE2DF0" w:rsidRPr="00CE2DF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jest przy tym odpowiednia alokacja środków z jednoczesną implementacją </w:t>
      </w:r>
      <w:r w:rsidRPr="001D2FF4">
        <w:rPr>
          <w:rFonts w:ascii="Arial" w:eastAsia="Times New Roman" w:hAnsi="Arial" w:cs="Arial"/>
          <w:sz w:val="18"/>
          <w:szCs w:val="18"/>
          <w:lang w:eastAsia="pl-PL"/>
        </w:rPr>
        <w:t xml:space="preserve">skutecznych rozwiązań z zakresu e-zdrowia, których deficyt i niedoskonałość (mimo teoretycznego istnienia takich rozwiązań) w ostatnich miesiącach wszyscy mocno odczuwamy. </w:t>
      </w:r>
      <w:r w:rsidRPr="00A12CF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Obecny kryzys gospodarczy i zdrowotny wpłynie zarówno na wydatki jak i dochody systemu ochrony zdrowia. Już teraz prognozuje się spadek wpływu ze składek do Narodowego Funduszu Zdrowia. </w:t>
      </w:r>
    </w:p>
    <w:p w:rsidR="00A12CFE" w:rsidRDefault="001D2FF4" w:rsidP="001D2FF4">
      <w:pPr>
        <w:spacing w:line="312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D2FF4">
        <w:rPr>
          <w:rFonts w:ascii="Arial" w:eastAsia="Times New Roman" w:hAnsi="Arial" w:cs="Arial"/>
          <w:sz w:val="18"/>
          <w:szCs w:val="18"/>
          <w:lang w:eastAsia="pl-PL"/>
        </w:rPr>
        <w:t xml:space="preserve">Bardzo ważny jest również możliwy wzrost niektórych kategorii kosztów, które gdyby nie pandemia nie ujawniłyby się </w:t>
      </w:r>
      <w:r w:rsidR="00A12CFE">
        <w:rPr>
          <w:rFonts w:ascii="Arial" w:eastAsia="Times New Roman" w:hAnsi="Arial" w:cs="Arial"/>
          <w:sz w:val="18"/>
          <w:szCs w:val="18"/>
          <w:lang w:eastAsia="pl-PL"/>
        </w:rPr>
        <w:t xml:space="preserve">w takim wymiarze, a mianowicie </w:t>
      </w:r>
      <w:r w:rsidR="00A12CFE" w:rsidRPr="00A12CFE">
        <w:rPr>
          <w:rFonts w:ascii="Arial" w:eastAsia="Times New Roman" w:hAnsi="Arial" w:cs="Arial"/>
          <w:sz w:val="18"/>
          <w:szCs w:val="18"/>
          <w:lang w:eastAsia="pl-PL"/>
        </w:rPr>
        <w:t>leczenie psychiatryczne, aktywność na polu pomocy psychologiczno-psychiatrycznej dla osób niedotkniętych przebyciem COVID-19, w tym szczególności dzieci, które w stanie epidemii musiały zmienić sposób funkcjon</w:t>
      </w:r>
      <w:bookmarkStart w:id="3" w:name="_GoBack"/>
      <w:bookmarkEnd w:id="3"/>
      <w:r w:rsidR="00A12CFE" w:rsidRPr="00A12CFE">
        <w:rPr>
          <w:rFonts w:ascii="Arial" w:eastAsia="Times New Roman" w:hAnsi="Arial" w:cs="Arial"/>
          <w:sz w:val="18"/>
          <w:szCs w:val="18"/>
          <w:lang w:eastAsia="pl-PL"/>
        </w:rPr>
        <w:t>owania, tryb nauki na zdalny, który uniemożliwia prawidłowy rozwój psychoruchowy i kontakt z rówieśnikami, nauczycielami i stwarza warunki pogłębiającej się izolacji</w:t>
      </w:r>
      <w:r w:rsidR="00A12CFE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A12CFE" w:rsidRPr="00A12CFE">
        <w:rPr>
          <w:rFonts w:ascii="Arial" w:eastAsia="Times New Roman" w:hAnsi="Arial" w:cs="Arial"/>
          <w:sz w:val="18"/>
          <w:szCs w:val="18"/>
          <w:lang w:eastAsia="pl-PL"/>
        </w:rPr>
        <w:t xml:space="preserve"> stanowiąc bezpośrednie zagrożen</w:t>
      </w:r>
      <w:r w:rsidR="00A12CFE">
        <w:rPr>
          <w:rFonts w:ascii="Arial" w:eastAsia="Times New Roman" w:hAnsi="Arial" w:cs="Arial"/>
          <w:sz w:val="18"/>
          <w:szCs w:val="18"/>
          <w:lang w:eastAsia="pl-PL"/>
        </w:rPr>
        <w:t>ie dla ich prawidłowego rozwoju. Po</w:t>
      </w:r>
      <w:r w:rsidR="00A12CFE" w:rsidRPr="00A12CFE">
        <w:rPr>
          <w:rFonts w:ascii="Arial" w:eastAsia="Times New Roman" w:hAnsi="Arial" w:cs="Arial"/>
          <w:sz w:val="18"/>
          <w:szCs w:val="18"/>
          <w:lang w:eastAsia="pl-PL"/>
        </w:rPr>
        <w:t>nadto</w:t>
      </w:r>
      <w:r w:rsidR="00A12CFE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A12CFE" w:rsidRPr="00A12CFE">
        <w:rPr>
          <w:rFonts w:ascii="Arial" w:eastAsia="Times New Roman" w:hAnsi="Arial" w:cs="Arial"/>
          <w:sz w:val="18"/>
          <w:szCs w:val="18"/>
          <w:lang w:eastAsia="pl-PL"/>
        </w:rPr>
        <w:t xml:space="preserve"> rehabilitacja </w:t>
      </w:r>
      <w:proofErr w:type="spellStart"/>
      <w:r w:rsidR="00A12CFE" w:rsidRPr="00A12CFE">
        <w:rPr>
          <w:rFonts w:ascii="Arial" w:eastAsia="Times New Roman" w:hAnsi="Arial" w:cs="Arial"/>
          <w:sz w:val="18"/>
          <w:szCs w:val="18"/>
          <w:lang w:eastAsia="pl-PL"/>
        </w:rPr>
        <w:t>pocovidowa</w:t>
      </w:r>
      <w:proofErr w:type="spellEnd"/>
      <w:r w:rsidR="00A12CFE" w:rsidRPr="00A12CFE">
        <w:rPr>
          <w:rFonts w:ascii="Arial" w:eastAsia="Times New Roman" w:hAnsi="Arial" w:cs="Arial"/>
          <w:sz w:val="18"/>
          <w:szCs w:val="18"/>
          <w:lang w:eastAsia="pl-PL"/>
        </w:rPr>
        <w:t xml:space="preserve"> i ratownictwo medyczne,</w:t>
      </w:r>
      <w:r w:rsidR="00A12CFE">
        <w:rPr>
          <w:rFonts w:ascii="Arial" w:eastAsia="Times New Roman" w:hAnsi="Arial" w:cs="Arial"/>
          <w:sz w:val="18"/>
          <w:szCs w:val="18"/>
          <w:lang w:eastAsia="pl-PL"/>
        </w:rPr>
        <w:t xml:space="preserve"> w tym funkcjonowanie </w:t>
      </w:r>
      <w:proofErr w:type="spellStart"/>
      <w:r w:rsidR="00A12CFE">
        <w:rPr>
          <w:rFonts w:ascii="Arial" w:eastAsia="Times New Roman" w:hAnsi="Arial" w:cs="Arial"/>
          <w:sz w:val="18"/>
          <w:szCs w:val="18"/>
          <w:lang w:eastAsia="pl-PL"/>
        </w:rPr>
        <w:t>SORów</w:t>
      </w:r>
      <w:proofErr w:type="spellEnd"/>
      <w:r w:rsidR="00A12CF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59264D" w:rsidRPr="00137984" w:rsidRDefault="001D2FF4" w:rsidP="00A12CFE">
      <w:pPr>
        <w:spacing w:line="312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1D2FF4">
        <w:rPr>
          <w:rFonts w:ascii="Arial" w:eastAsia="Times New Roman" w:hAnsi="Arial" w:cs="Arial"/>
          <w:sz w:val="18"/>
          <w:szCs w:val="18"/>
          <w:lang w:eastAsia="pl-PL"/>
        </w:rPr>
        <w:t xml:space="preserve">Biorąc pod uwagę obraz sytuacji epidemiologicznej należy stwierdzić, że system ochrony zdrowia wymaga pilnej interwencji w postaci sprawnie prowadzonych procesów restrukturyzacji, nakierowanych na poprawę sytuacji w zakresie finansowania i braków kadrowych. Powinny temu posłużyć zdobyte na przestrzeni ostatnich miesięcy doświadczenia. </w:t>
      </w:r>
      <w:r w:rsidRPr="00137984">
        <w:rPr>
          <w:rFonts w:ascii="Arial" w:eastAsia="Times New Roman" w:hAnsi="Arial" w:cs="Arial"/>
          <w:b/>
          <w:sz w:val="18"/>
          <w:szCs w:val="18"/>
          <w:lang w:eastAsia="pl-PL"/>
        </w:rPr>
        <w:t>Odbudowa syst</w:t>
      </w:r>
      <w:r w:rsidR="00A12CFE" w:rsidRPr="00137984">
        <w:rPr>
          <w:rFonts w:ascii="Arial" w:eastAsia="Times New Roman" w:hAnsi="Arial" w:cs="Arial"/>
          <w:b/>
          <w:sz w:val="18"/>
          <w:szCs w:val="18"/>
          <w:lang w:eastAsia="pl-PL"/>
        </w:rPr>
        <w:t>emu po pandemii nie będzie tak bolesna</w:t>
      </w:r>
      <w:r w:rsidRPr="00137984">
        <w:rPr>
          <w:rFonts w:ascii="Arial" w:eastAsia="Times New Roman" w:hAnsi="Arial" w:cs="Arial"/>
          <w:b/>
          <w:sz w:val="18"/>
          <w:szCs w:val="18"/>
          <w:lang w:eastAsia="pl-PL"/>
        </w:rPr>
        <w:t>, jeśli już teraz zostaną wskazane słuszne kierunki działania.</w:t>
      </w:r>
    </w:p>
    <w:p w:rsidR="00EA4751" w:rsidRDefault="00EA4751" w:rsidP="00EA4751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u w:val="single"/>
          <w:lang w:eastAsia="pl-PL"/>
        </w:rPr>
      </w:pPr>
      <w:r>
        <w:rPr>
          <w:rFonts w:ascii="Arial" w:eastAsia="Calibri" w:hAnsi="Arial" w:cs="Arial"/>
          <w:bCs/>
          <w:color w:val="000000"/>
          <w:sz w:val="18"/>
          <w:szCs w:val="18"/>
          <w:u w:val="single"/>
          <w:lang w:eastAsia="pl-PL"/>
        </w:rPr>
        <w:t>Kontakt z ekspert</w:t>
      </w:r>
      <w:r w:rsidR="0059264D">
        <w:rPr>
          <w:rFonts w:ascii="Arial" w:eastAsia="Calibri" w:hAnsi="Arial" w:cs="Arial"/>
          <w:bCs/>
          <w:color w:val="000000"/>
          <w:sz w:val="18"/>
          <w:szCs w:val="18"/>
          <w:u w:val="single"/>
          <w:lang w:eastAsia="pl-PL"/>
        </w:rPr>
        <w:t>ami</w:t>
      </w:r>
      <w:r w:rsidRPr="009B7329">
        <w:rPr>
          <w:rFonts w:ascii="Arial" w:eastAsia="Calibri" w:hAnsi="Arial" w:cs="Arial"/>
          <w:bCs/>
          <w:color w:val="000000"/>
          <w:sz w:val="18"/>
          <w:szCs w:val="18"/>
          <w:u w:val="single"/>
          <w:lang w:eastAsia="pl-PL"/>
        </w:rPr>
        <w:t>:</w:t>
      </w:r>
    </w:p>
    <w:p w:rsidR="00A12CFE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</w:p>
    <w:p w:rsidR="00A12CFE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>
        <w:rPr>
          <w:rFonts w:ascii="Arial" w:eastAsia="Calibri" w:hAnsi="Arial" w:cs="Arial"/>
          <w:bCs/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747095" cy="1025236"/>
            <wp:effectExtent l="0" t="0" r="0" b="3810"/>
            <wp:docPr id="10" name="Obraz 10" descr="C:\Users\emil.mucinski\Documents\BCC\LUDZIE BCC\Kopiec Tomasz\M.Burzyń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emil.mucinski\Documents\BCC\LUDZIE BCC\Kopiec Tomasz\M.Burzyńs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7613" cy="102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FE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</w:p>
    <w:p w:rsidR="00A12CFE" w:rsidRPr="00A12CFE" w:rsidRDefault="00A12CFE" w:rsidP="00A12CFE">
      <w:pPr>
        <w:spacing w:after="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A12CFE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Monika Burzyńska</w:t>
      </w:r>
    </w:p>
    <w:p w:rsidR="00A12CFE" w:rsidRPr="00A12CFE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 w:rsidRPr="00A12CFE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ekspertka BCC ds. zdrowia publicznego</w:t>
      </w:r>
    </w:p>
    <w:p w:rsidR="00A12CFE" w:rsidRPr="00A12CFE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tel.:</w:t>
      </w:r>
      <w:r w:rsidRPr="00A12CFE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 605 220 578</w:t>
      </w:r>
    </w:p>
    <w:p w:rsidR="00EA4751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e-mail:</w:t>
      </w:r>
      <w:r w:rsidRPr="00A12CFE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 </w:t>
      </w:r>
      <w:hyperlink r:id="rId10" w:history="1">
        <w:r w:rsidRPr="00440CFD">
          <w:rPr>
            <w:rStyle w:val="Hipercze"/>
            <w:rFonts w:ascii="Arial" w:eastAsia="Calibri" w:hAnsi="Arial" w:cs="Arial"/>
            <w:bCs/>
            <w:sz w:val="18"/>
            <w:szCs w:val="18"/>
            <w:lang w:eastAsia="pl-PL"/>
          </w:rPr>
          <w:t>monika.burzynska@bcc.org.pl</w:t>
        </w:r>
      </w:hyperlink>
    </w:p>
    <w:p w:rsidR="00137984" w:rsidRDefault="00137984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</w:p>
    <w:p w:rsidR="00A12CFE" w:rsidRPr="00A12CFE" w:rsidRDefault="00137984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>
        <w:rPr>
          <w:rFonts w:ascii="Arial" w:eastAsia="Calibri" w:hAnsi="Arial" w:cs="Arial"/>
          <w:bCs/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740265" cy="1003070"/>
            <wp:effectExtent l="0" t="0" r="3175" b="6985"/>
            <wp:docPr id="12" name="Obraz 12" descr="C:\Users\emil.mucinski\Documents\BCC\LUDZIE BCC\Kopiec Tomasz\T.Kopi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emil.mucinski\Documents\BCC\LUDZIE BCC\Kopiec Tomasz\T.Kopie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540" cy="100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984" w:rsidRDefault="00137984" w:rsidP="00A12CFE">
      <w:pPr>
        <w:spacing w:after="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</w:p>
    <w:p w:rsidR="00A12CFE" w:rsidRPr="00A12CFE" w:rsidRDefault="00A12CFE" w:rsidP="00A12CFE">
      <w:pPr>
        <w:spacing w:after="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A12CFE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Tomasz Kopiec</w:t>
      </w:r>
    </w:p>
    <w:p w:rsidR="00A12CFE" w:rsidRPr="00A12CFE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 w:rsidRPr="00A12CFE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ekspert BCC ds. zarządzania w ochronie zdrowia</w:t>
      </w:r>
    </w:p>
    <w:p w:rsidR="00A12CFE" w:rsidRPr="00A12CFE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tel.:</w:t>
      </w:r>
      <w:r w:rsidRPr="00A12CFE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 607 474 774</w:t>
      </w:r>
    </w:p>
    <w:p w:rsidR="00A12CFE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e-mail:</w:t>
      </w:r>
      <w:r w:rsidRPr="00A12CFE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 </w:t>
      </w:r>
      <w:hyperlink r:id="rId12" w:history="1">
        <w:r w:rsidRPr="00440CFD">
          <w:rPr>
            <w:rStyle w:val="Hipercze"/>
            <w:rFonts w:ascii="Arial" w:eastAsia="Calibri" w:hAnsi="Arial" w:cs="Arial"/>
            <w:bCs/>
            <w:sz w:val="18"/>
            <w:szCs w:val="18"/>
            <w:lang w:eastAsia="pl-PL"/>
          </w:rPr>
          <w:t>tomasz.kopiec@bcc.org.pl</w:t>
        </w:r>
      </w:hyperlink>
    </w:p>
    <w:p w:rsidR="00A12CFE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</w:p>
    <w:p w:rsidR="00137984" w:rsidRPr="00A12CFE" w:rsidRDefault="00137984" w:rsidP="00137984">
      <w:pPr>
        <w:tabs>
          <w:tab w:val="left" w:pos="1276"/>
        </w:tabs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>
        <w:rPr>
          <w:rFonts w:ascii="Arial" w:eastAsia="Calibri" w:hAnsi="Arial" w:cs="Arial"/>
          <w:bCs/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744151" cy="986444"/>
            <wp:effectExtent l="0" t="0" r="0" b="4445"/>
            <wp:docPr id="14" name="Obraz 14" descr="C:\Users\emil.mucinski\Documents\BCC\ZDJECIA\EKSPERCI BCC\Masłowski Wi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emil.mucinski\Documents\BCC\ZDJECIA\EKSPERCI BCC\Masłowski Wikto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4669" cy="98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984" w:rsidRDefault="00137984" w:rsidP="00A12CFE">
      <w:pPr>
        <w:spacing w:after="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</w:p>
    <w:p w:rsidR="00A12CFE" w:rsidRPr="00A12CFE" w:rsidRDefault="00A12CFE" w:rsidP="00A12CFE">
      <w:pPr>
        <w:spacing w:after="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A12CFE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Wiktor Masłowski</w:t>
      </w:r>
    </w:p>
    <w:p w:rsidR="00A12CFE" w:rsidRPr="00A12CFE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 w:rsidRPr="00A12CFE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przewodniczący Komisji BCC ds.</w:t>
      </w:r>
      <w:r w:rsidR="00137984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 usług zdrowotnych</w:t>
      </w:r>
    </w:p>
    <w:p w:rsidR="00A12CFE" w:rsidRPr="00A12CFE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tel.:</w:t>
      </w:r>
      <w:r w:rsidRPr="00A12CFE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 22 32 11 400</w:t>
      </w:r>
    </w:p>
    <w:p w:rsidR="00A12CFE" w:rsidRPr="00A12CFE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e-mail:</w:t>
      </w:r>
      <w:r w:rsidRPr="00A12CFE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 </w:t>
      </w:r>
      <w:hyperlink r:id="rId14" w:history="1">
        <w:r w:rsidRPr="00A12CFE">
          <w:rPr>
            <w:rStyle w:val="Hipercze"/>
            <w:rFonts w:ascii="Arial" w:eastAsia="Calibri" w:hAnsi="Arial" w:cs="Arial"/>
            <w:bCs/>
            <w:sz w:val="18"/>
            <w:szCs w:val="18"/>
            <w:u w:val="none"/>
            <w:lang w:eastAsia="pl-PL"/>
          </w:rPr>
          <w:t>wiktor.maslowski@bcc.org.pl</w:t>
        </w:r>
      </w:hyperlink>
    </w:p>
    <w:p w:rsidR="00A12CFE" w:rsidRDefault="00A12CFE" w:rsidP="00A12CFE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u w:val="single"/>
          <w:lang w:eastAsia="pl-PL"/>
        </w:rPr>
      </w:pPr>
    </w:p>
    <w:p w:rsidR="00137984" w:rsidRDefault="00137984" w:rsidP="00EA4751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u w:val="single"/>
          <w:lang w:eastAsia="pl-PL"/>
        </w:rPr>
      </w:pPr>
    </w:p>
    <w:p w:rsidR="00EA4751" w:rsidRPr="00AA66EB" w:rsidRDefault="00EA4751" w:rsidP="00EA4751">
      <w:pPr>
        <w:spacing w:after="0"/>
        <w:jc w:val="both"/>
        <w:rPr>
          <w:rFonts w:ascii="Arial" w:eastAsia="Calibri" w:hAnsi="Arial" w:cs="Arial"/>
          <w:bCs/>
          <w:color w:val="000000"/>
          <w:sz w:val="18"/>
          <w:szCs w:val="18"/>
          <w:u w:val="single"/>
          <w:lang w:eastAsia="pl-PL"/>
        </w:rPr>
      </w:pPr>
      <w:r w:rsidRPr="00AA66EB">
        <w:rPr>
          <w:rFonts w:ascii="Arial" w:eastAsia="Calibri" w:hAnsi="Arial" w:cs="Arial"/>
          <w:bCs/>
          <w:color w:val="000000"/>
          <w:sz w:val="18"/>
          <w:szCs w:val="18"/>
          <w:u w:val="single"/>
          <w:lang w:eastAsia="pl-PL"/>
        </w:rPr>
        <w:t>Kontakt dla mediów:</w:t>
      </w:r>
    </w:p>
    <w:p w:rsidR="00EA4751" w:rsidRPr="00AA66EB" w:rsidRDefault="00EA4751" w:rsidP="00EA4751">
      <w:pPr>
        <w:spacing w:after="0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</w:p>
    <w:p w:rsidR="00EA4751" w:rsidRPr="00A8175A" w:rsidRDefault="00EA4751" w:rsidP="00EA4751">
      <w:pPr>
        <w:suppressAutoHyphens/>
        <w:spacing w:after="0" w:line="240" w:lineRule="auto"/>
        <w:rPr>
          <w:rFonts w:ascii="Arial" w:eastAsia="Arial Unicode MS" w:hAnsi="Arial" w:cs="Arial"/>
          <w:b/>
          <w:sz w:val="18"/>
          <w:szCs w:val="18"/>
          <w:lang w:eastAsia="ar-SA"/>
        </w:rPr>
      </w:pPr>
      <w:r w:rsidRPr="00A8175A">
        <w:rPr>
          <w:rFonts w:ascii="Arial" w:eastAsia="Arial Unicode MS" w:hAnsi="Arial" w:cs="Arial"/>
          <w:b/>
          <w:sz w:val="18"/>
          <w:szCs w:val="18"/>
          <w:lang w:eastAsia="ar-SA"/>
        </w:rPr>
        <w:t>Emil Muciński</w:t>
      </w:r>
    </w:p>
    <w:p w:rsidR="00EA4751" w:rsidRPr="00A8175A" w:rsidRDefault="00EA4751" w:rsidP="00EA4751">
      <w:pPr>
        <w:suppressAutoHyphens/>
        <w:spacing w:after="0" w:line="240" w:lineRule="auto"/>
        <w:rPr>
          <w:rFonts w:ascii="Arial" w:eastAsia="Arial Unicode MS" w:hAnsi="Arial" w:cs="Arial"/>
          <w:sz w:val="18"/>
          <w:szCs w:val="18"/>
          <w:lang w:eastAsia="ar-SA"/>
        </w:rPr>
      </w:pPr>
      <w:r w:rsidRPr="00A8175A">
        <w:rPr>
          <w:rFonts w:ascii="Arial" w:eastAsia="Arial Unicode MS" w:hAnsi="Arial" w:cs="Arial"/>
          <w:sz w:val="18"/>
          <w:szCs w:val="18"/>
          <w:lang w:eastAsia="ar-SA"/>
        </w:rPr>
        <w:t>rzecznik, Instytut Interwencji Gospodarczych BCC</w:t>
      </w:r>
    </w:p>
    <w:p w:rsidR="00EA4751" w:rsidRDefault="00EA4751" w:rsidP="00EA4751">
      <w:pPr>
        <w:suppressAutoHyphens/>
        <w:spacing w:after="0" w:line="240" w:lineRule="auto"/>
        <w:rPr>
          <w:rFonts w:ascii="Arial" w:eastAsia="Arial Unicode MS" w:hAnsi="Arial" w:cs="Arial"/>
          <w:sz w:val="18"/>
          <w:szCs w:val="18"/>
          <w:lang w:val="en-US" w:eastAsia="ar-SA"/>
        </w:rPr>
      </w:pPr>
      <w:r w:rsidRPr="00A8175A">
        <w:rPr>
          <w:rFonts w:ascii="Arial" w:eastAsia="Arial Unicode MS" w:hAnsi="Arial" w:cs="Arial"/>
          <w:sz w:val="18"/>
          <w:szCs w:val="18"/>
          <w:lang w:val="en-US" w:eastAsia="ar-SA"/>
        </w:rPr>
        <w:t>tel. 602 571</w:t>
      </w:r>
      <w:r>
        <w:rPr>
          <w:rFonts w:ascii="Arial" w:eastAsia="Arial Unicode MS" w:hAnsi="Arial" w:cs="Arial"/>
          <w:sz w:val="18"/>
          <w:szCs w:val="18"/>
          <w:lang w:val="en-US" w:eastAsia="ar-SA"/>
        </w:rPr>
        <w:t> </w:t>
      </w:r>
      <w:r w:rsidRPr="00A8175A">
        <w:rPr>
          <w:rFonts w:ascii="Arial" w:eastAsia="Arial Unicode MS" w:hAnsi="Arial" w:cs="Arial"/>
          <w:sz w:val="18"/>
          <w:szCs w:val="18"/>
          <w:lang w:val="en-US" w:eastAsia="ar-SA"/>
        </w:rPr>
        <w:t>395</w:t>
      </w:r>
    </w:p>
    <w:p w:rsidR="00EA4751" w:rsidRDefault="00EA4751" w:rsidP="00EA4751">
      <w:pPr>
        <w:suppressAutoHyphens/>
        <w:spacing w:after="0" w:line="240" w:lineRule="auto"/>
        <w:rPr>
          <w:rFonts w:ascii="Arial" w:eastAsia="Arial Unicode MS" w:hAnsi="Arial" w:cs="Arial"/>
          <w:color w:val="146CB4"/>
          <w:sz w:val="18"/>
          <w:szCs w:val="18"/>
          <w:lang w:val="en-US" w:eastAsia="ar-SA"/>
        </w:rPr>
      </w:pPr>
      <w:r w:rsidRPr="00A8175A">
        <w:rPr>
          <w:rFonts w:ascii="Arial" w:eastAsia="Arial Unicode MS" w:hAnsi="Arial" w:cs="Arial"/>
          <w:sz w:val="18"/>
          <w:szCs w:val="18"/>
          <w:lang w:val="en-US" w:eastAsia="ar-SA"/>
        </w:rPr>
        <w:t xml:space="preserve">e-mail: </w:t>
      </w:r>
      <w:hyperlink r:id="rId15" w:history="1">
        <w:r w:rsidRPr="00A8175A">
          <w:rPr>
            <w:rFonts w:ascii="Arial" w:eastAsia="Arial Unicode MS" w:hAnsi="Arial" w:cs="Arial"/>
            <w:color w:val="146CB4"/>
            <w:sz w:val="18"/>
            <w:szCs w:val="18"/>
            <w:lang w:val="en-US" w:eastAsia="ar-SA"/>
          </w:rPr>
          <w:t>emil.mucinski@bcc.org.pl</w:t>
        </w:r>
      </w:hyperlink>
      <w:r>
        <w:rPr>
          <w:rFonts w:ascii="Arial" w:eastAsia="Arial Unicode MS" w:hAnsi="Arial" w:cs="Arial"/>
          <w:color w:val="146CB4"/>
          <w:sz w:val="18"/>
          <w:szCs w:val="18"/>
          <w:lang w:val="en-US" w:eastAsia="ar-SA"/>
        </w:rPr>
        <w:t xml:space="preserve"> </w:t>
      </w:r>
    </w:p>
    <w:p w:rsidR="00EA4751" w:rsidRDefault="00EA4751" w:rsidP="00EA4751">
      <w:pPr>
        <w:suppressAutoHyphens/>
        <w:spacing w:after="0"/>
        <w:rPr>
          <w:rFonts w:ascii="Arial" w:eastAsia="Arial Unicode MS" w:hAnsi="Arial" w:cs="Arial"/>
          <w:color w:val="146CB4"/>
          <w:sz w:val="14"/>
          <w:szCs w:val="18"/>
          <w:lang w:val="en-US" w:eastAsia="ar-SA"/>
        </w:rPr>
      </w:pPr>
    </w:p>
    <w:p w:rsidR="00EA4751" w:rsidRPr="00A8175A" w:rsidRDefault="00EA4751" w:rsidP="00EA4751">
      <w:pPr>
        <w:suppressAutoHyphens/>
        <w:spacing w:after="0"/>
        <w:rPr>
          <w:rFonts w:ascii="Arial" w:eastAsia="Arial Unicode MS" w:hAnsi="Arial" w:cs="Arial"/>
          <w:color w:val="146CB4"/>
          <w:sz w:val="14"/>
          <w:szCs w:val="18"/>
          <w:lang w:val="en-US" w:eastAsia="ar-SA"/>
        </w:rPr>
      </w:pPr>
    </w:p>
    <w:p w:rsidR="00EA4751" w:rsidRPr="00A8175A" w:rsidRDefault="00EA4751" w:rsidP="00EA4751">
      <w:pPr>
        <w:pBdr>
          <w:top w:val="single" w:sz="2" w:space="6" w:color="C00000"/>
        </w:pBdr>
        <w:spacing w:after="0"/>
        <w:jc w:val="both"/>
        <w:rPr>
          <w:rFonts w:ascii="Calibri" w:eastAsia="Calibri" w:hAnsi="Calibri" w:cs="Calibri"/>
          <w:i/>
          <w:color w:val="808080" w:themeColor="background1" w:themeShade="80"/>
          <w:sz w:val="10"/>
          <w:szCs w:val="14"/>
        </w:rPr>
      </w:pPr>
      <w:r w:rsidRPr="00A8175A">
        <w:rPr>
          <w:rFonts w:ascii="Calibri" w:eastAsia="Calibri" w:hAnsi="Calibri" w:cs="Calibri"/>
          <w:b/>
          <w:i/>
          <w:color w:val="808080" w:themeColor="background1" w:themeShade="80"/>
          <w:sz w:val="10"/>
          <w:szCs w:val="14"/>
        </w:rPr>
        <w:t>Business Centre Club</w:t>
      </w:r>
      <w:r w:rsidRPr="00A8175A">
        <w:rPr>
          <w:rFonts w:ascii="Calibri" w:eastAsia="Calibri" w:hAnsi="Calibri" w:cs="Calibri"/>
          <w:i/>
          <w:color w:val="808080" w:themeColor="background1" w:themeShade="80"/>
          <w:sz w:val="10"/>
          <w:szCs w:val="14"/>
        </w:rPr>
        <w:t xml:space="preserve"> powstał pod koniec XX w., w 1991 roku. Jest prestiżowym Klubem przedsiębiorców i największą w kraju ustawową organizacją indywidualnych pracodawców. Grupa BCC składa się z Klubu BCC, Związku Pracodawców BCC i Studenckiego Forum BCC. Członkowie BCC zatrudniają ponad 400 tys. pracowników, obroty firm sięgają 20 miliardów złotych a siedziby rozlokowane są w blisko 250 miastach. Na terenie całej Polski działają 22 loże regionalne. Do BCC należą przedstawiciele wszystkich branż, międzynarodowe korporacje, instytucje finansowe i ubezpieczeniowe, firmy telekomunikacyjne, najwięksi polscy producenci, uczelnie wyższe, koncerny wydawnicze i znane kancelarie prawne. Członkami Klubu są także prawnicy, dziennikarze, naukowcy, wydawcy, lekarze, wojskowi i studenci. BCC koncentruje się na działaniach na rzecz rozwoju gospodarki i pomocy przedsiębiorcom, jest ustawowym członkiem Rady Dialogu Społecznego. Koordynatorem wszystkich działań BCC jest Marek Goliszewski.</w:t>
      </w:r>
    </w:p>
    <w:p w:rsidR="00435A1F" w:rsidRDefault="00EA4751" w:rsidP="00EA4751">
      <w:pPr>
        <w:spacing w:after="0"/>
        <w:jc w:val="both"/>
      </w:pPr>
      <w:r w:rsidRPr="00A8175A">
        <w:rPr>
          <w:rFonts w:ascii="Calibri" w:eastAsia="Calibri" w:hAnsi="Calibri" w:cs="Calibri"/>
          <w:i/>
          <w:color w:val="808080" w:themeColor="background1" w:themeShade="80"/>
          <w:sz w:val="10"/>
          <w:szCs w:val="14"/>
        </w:rPr>
        <w:t xml:space="preserve">Kontakty prasowe: </w:t>
      </w:r>
      <w:hyperlink r:id="rId16" w:history="1">
        <w:r w:rsidRPr="00A8175A">
          <w:rPr>
            <w:rFonts w:ascii="Calibri" w:eastAsia="Calibri" w:hAnsi="Calibri" w:cs="Calibri"/>
            <w:i/>
            <w:color w:val="808080" w:themeColor="background1" w:themeShade="80"/>
            <w:sz w:val="10"/>
            <w:szCs w:val="14"/>
          </w:rPr>
          <w:t>https://www.bcc.org.pl/strefa_eksperta/kontakty-do-ekspertow</w:t>
        </w:r>
      </w:hyperlink>
      <w:r w:rsidRPr="00A8175A">
        <w:rPr>
          <w:rFonts w:ascii="Calibri" w:eastAsia="Calibri" w:hAnsi="Calibri" w:cs="Calibri"/>
          <w:i/>
          <w:color w:val="808080" w:themeColor="background1" w:themeShade="80"/>
          <w:sz w:val="10"/>
          <w:szCs w:val="14"/>
        </w:rPr>
        <w:t xml:space="preserve">, więcej: </w:t>
      </w:r>
      <w:hyperlink r:id="rId17" w:history="1">
        <w:r w:rsidRPr="00A8175A">
          <w:rPr>
            <w:rFonts w:ascii="Calibri" w:eastAsia="Calibri" w:hAnsi="Calibri" w:cs="Calibri"/>
            <w:i/>
            <w:color w:val="808080" w:themeColor="background1" w:themeShade="80"/>
            <w:sz w:val="10"/>
            <w:szCs w:val="14"/>
          </w:rPr>
          <w:t>https://www.bcc.org.pl/</w:t>
        </w:r>
      </w:hyperlink>
      <w:r w:rsidRPr="00A8175A">
        <w:rPr>
          <w:rFonts w:ascii="Calibri" w:eastAsia="Calibri" w:hAnsi="Calibri" w:cs="Calibri"/>
          <w:i/>
          <w:color w:val="808080" w:themeColor="background1" w:themeShade="80"/>
          <w:sz w:val="10"/>
          <w:szCs w:val="14"/>
        </w:rPr>
        <w:t xml:space="preserve"> oraz: </w:t>
      </w:r>
      <w:hyperlink r:id="rId18" w:history="1">
        <w:r w:rsidRPr="00A8175A">
          <w:rPr>
            <w:rFonts w:ascii="Calibri" w:eastAsia="Calibri" w:hAnsi="Calibri" w:cs="Calibri"/>
            <w:i/>
            <w:color w:val="808080" w:themeColor="background1" w:themeShade="80"/>
            <w:sz w:val="10"/>
            <w:szCs w:val="14"/>
          </w:rPr>
          <w:t>https://www.facebook.com/businesscentreclub</w:t>
        </w:r>
      </w:hyperlink>
      <w:bookmarkEnd w:id="0"/>
      <w:bookmarkEnd w:id="1"/>
      <w:bookmarkEnd w:id="2"/>
    </w:p>
    <w:sectPr w:rsidR="00435A1F" w:rsidSect="007A676C">
      <w:footerReference w:type="default" r:id="rId19"/>
      <w:pgSz w:w="11906" w:h="16838"/>
      <w:pgMar w:top="1134" w:right="1417" w:bottom="851" w:left="1417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563308"/>
      <w:docPartObj>
        <w:docPartGallery w:val="Page Numbers (Bottom of Page)"/>
        <w:docPartUnique/>
      </w:docPartObj>
    </w:sdtPr>
    <w:sdtEndPr/>
    <w:sdtContent>
      <w:p w:rsidR="00255A3E" w:rsidRDefault="002324EF">
        <w:pPr>
          <w:pStyle w:val="Stopka"/>
          <w:jc w:val="right"/>
        </w:pPr>
        <w:r w:rsidRPr="00255A3E">
          <w:rPr>
            <w:rFonts w:cstheme="minorHAnsi"/>
            <w:sz w:val="18"/>
          </w:rPr>
          <w:fldChar w:fldCharType="begin"/>
        </w:r>
        <w:r w:rsidRPr="00255A3E">
          <w:rPr>
            <w:rFonts w:cstheme="minorHAnsi"/>
            <w:sz w:val="18"/>
          </w:rPr>
          <w:instrText>PAGE   \* MERGEFORMAT</w:instrText>
        </w:r>
        <w:r w:rsidRPr="00255A3E">
          <w:rPr>
            <w:rFonts w:cstheme="minorHAnsi"/>
            <w:sz w:val="18"/>
          </w:rPr>
          <w:fldChar w:fldCharType="separate"/>
        </w:r>
        <w:r w:rsidR="00137984">
          <w:rPr>
            <w:rFonts w:cstheme="minorHAnsi"/>
            <w:noProof/>
            <w:sz w:val="18"/>
          </w:rPr>
          <w:t>1</w:t>
        </w:r>
        <w:r w:rsidRPr="00255A3E">
          <w:rPr>
            <w:rFonts w:cstheme="minorHAnsi"/>
            <w:sz w:val="18"/>
          </w:rPr>
          <w:fldChar w:fldCharType="end"/>
        </w:r>
      </w:p>
    </w:sdtContent>
  </w:sdt>
  <w:p w:rsidR="00B453A4" w:rsidRDefault="002324EF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7A57"/>
    <w:multiLevelType w:val="hybridMultilevel"/>
    <w:tmpl w:val="63EA6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B72"/>
    <w:multiLevelType w:val="multilevel"/>
    <w:tmpl w:val="46FC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331011"/>
    <w:multiLevelType w:val="multilevel"/>
    <w:tmpl w:val="42808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51"/>
    <w:rsid w:val="00007A99"/>
    <w:rsid w:val="00137984"/>
    <w:rsid w:val="001D2FF4"/>
    <w:rsid w:val="002324EF"/>
    <w:rsid w:val="00385526"/>
    <w:rsid w:val="0059264D"/>
    <w:rsid w:val="005E08B2"/>
    <w:rsid w:val="00970FB3"/>
    <w:rsid w:val="00A12CFE"/>
    <w:rsid w:val="00B14030"/>
    <w:rsid w:val="00CE2DF0"/>
    <w:rsid w:val="00EA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751"/>
  </w:style>
  <w:style w:type="character" w:styleId="Hipercze">
    <w:name w:val="Hyperlink"/>
    <w:basedOn w:val="Domylnaczcionkaakapitu"/>
    <w:uiPriority w:val="99"/>
    <w:unhideWhenUsed/>
    <w:rsid w:val="00EA475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7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0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751"/>
  </w:style>
  <w:style w:type="character" w:styleId="Hipercze">
    <w:name w:val="Hyperlink"/>
    <w:basedOn w:val="Domylnaczcionkaakapitu"/>
    <w:uiPriority w:val="99"/>
    <w:unhideWhenUsed/>
    <w:rsid w:val="00EA475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7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jpeg"/><Relationship Id="rId18" Type="http://schemas.openxmlformats.org/officeDocument/2006/relationships/hyperlink" Target="https://www.facebook.com/businesscentreclub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tomasz.kopiec@bcc.org.pl" TargetMode="External"/><Relationship Id="rId17" Type="http://schemas.openxmlformats.org/officeDocument/2006/relationships/hyperlink" Target="https://www.bcc.org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cc.org.pl/strefa_eksperta/kontakty-do-eksperto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emil.mucinski@bcc.org.pl" TargetMode="External"/><Relationship Id="rId10" Type="http://schemas.openxmlformats.org/officeDocument/2006/relationships/hyperlink" Target="mailto:monika.burzynska@bcc.org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wiktor.maslowski@bcc.org.p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Ze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ZGONY NADMIAROWE</a:t>
            </a:r>
            <a:r>
              <a:rPr lang="pl-PL">
                <a:solidFill>
                  <a:schemeClr val="tx1"/>
                </a:solidFill>
              </a:rPr>
              <a:t> W 2021</a:t>
            </a:r>
            <a:r>
              <a:rPr lang="pl-PL" baseline="0">
                <a:solidFill>
                  <a:schemeClr val="tx1"/>
                </a:solidFill>
              </a:rPr>
              <a:t> r. </a:t>
            </a:r>
          </a:p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aseline="0">
                <a:solidFill>
                  <a:schemeClr val="tx1"/>
                </a:solidFill>
              </a:rPr>
              <a:t>(%, względem danych z lat 2016-19)</a:t>
            </a:r>
            <a:endParaRPr lang="en-US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Pt>
            <c:idx val="16"/>
            <c:invertIfNegative val="0"/>
            <c:bubble3D val="0"/>
            <c:spPr>
              <a:solidFill>
                <a:srgbClr val="FFC000"/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  <a:sp3d contourW="9525">
                <a:contourClr>
                  <a:schemeClr val="accent1">
                    <a:shade val="9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D40-4779-9890-8CFD23C55881}"/>
              </c:ext>
            </c:extLst>
          </c:dPt>
          <c:dPt>
            <c:idx val="30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  <a:sp3d contourW="9525">
                <a:contourClr>
                  <a:schemeClr val="accent1">
                    <a:shade val="9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D40-4779-9890-8CFD23C55881}"/>
              </c:ext>
            </c:extLst>
          </c:dPt>
          <c:dLbls>
            <c:delete val="1"/>
          </c:dLbls>
          <c:cat>
            <c:strRef>
              <c:f>Arkusz1!$B$4:$B$34</c:f>
              <c:strCache>
                <c:ptCount val="31"/>
                <c:pt idx="0">
                  <c:v>Norwegia</c:v>
                </c:pt>
                <c:pt idx="1">
                  <c:v>Islandia</c:v>
                </c:pt>
                <c:pt idx="2">
                  <c:v>Finlandia</c:v>
                </c:pt>
                <c:pt idx="3">
                  <c:v>Dania</c:v>
                </c:pt>
                <c:pt idx="4">
                  <c:v>Łotwa</c:v>
                </c:pt>
                <c:pt idx="5">
                  <c:v>Estonia</c:v>
                </c:pt>
                <c:pt idx="6">
                  <c:v>Niemcy</c:v>
                </c:pt>
                <c:pt idx="7">
                  <c:v>Grecja</c:v>
                </c:pt>
                <c:pt idx="8">
                  <c:v>Szwecja</c:v>
                </c:pt>
                <c:pt idx="9">
                  <c:v>Węgry</c:v>
                </c:pt>
                <c:pt idx="10">
                  <c:v>Chorwacja</c:v>
                </c:pt>
                <c:pt idx="11">
                  <c:v>Cypr</c:v>
                </c:pt>
                <c:pt idx="12">
                  <c:v>Francja</c:v>
                </c:pt>
                <c:pt idx="13">
                  <c:v>Austria</c:v>
                </c:pt>
                <c:pt idx="14">
                  <c:v>Luksemburg</c:v>
                </c:pt>
                <c:pt idx="15">
                  <c:v>Holandia</c:v>
                </c:pt>
                <c:pt idx="16">
                  <c:v>UE(27)</c:v>
                </c:pt>
                <c:pt idx="17">
                  <c:v>Malta</c:v>
                </c:pt>
                <c:pt idx="18">
                  <c:v>Litwa</c:v>
                </c:pt>
                <c:pt idx="19">
                  <c:v>Bułgaria</c:v>
                </c:pt>
                <c:pt idx="20">
                  <c:v>Szwajcaria</c:v>
                </c:pt>
                <c:pt idx="21">
                  <c:v>Portugalia</c:v>
                </c:pt>
                <c:pt idx="22">
                  <c:v>Rumunia</c:v>
                </c:pt>
                <c:pt idx="23">
                  <c:v>Włochy</c:v>
                </c:pt>
                <c:pt idx="24">
                  <c:v>Belgia</c:v>
                </c:pt>
                <c:pt idx="25">
                  <c:v>Słowacja</c:v>
                </c:pt>
                <c:pt idx="26">
                  <c:v>Liechtenstein</c:v>
                </c:pt>
                <c:pt idx="27">
                  <c:v>Słowenia</c:v>
                </c:pt>
                <c:pt idx="28">
                  <c:v>Hiszpania</c:v>
                </c:pt>
                <c:pt idx="29">
                  <c:v>Czechy</c:v>
                </c:pt>
                <c:pt idx="30">
                  <c:v>Polska</c:v>
                </c:pt>
              </c:strCache>
            </c:strRef>
          </c:cat>
          <c:val>
            <c:numRef>
              <c:f>Arkusz1!$C$4:$C$34</c:f>
              <c:numCache>
                <c:formatCode>General</c:formatCode>
                <c:ptCount val="31"/>
                <c:pt idx="0">
                  <c:v>-0.5</c:v>
                </c:pt>
                <c:pt idx="1">
                  <c:v>0.2</c:v>
                </c:pt>
                <c:pt idx="2">
                  <c:v>2.8</c:v>
                </c:pt>
                <c:pt idx="3">
                  <c:v>3.5</c:v>
                </c:pt>
                <c:pt idx="4">
                  <c:v>4.9000000000000004</c:v>
                </c:pt>
                <c:pt idx="5">
                  <c:v>5.8</c:v>
                </c:pt>
                <c:pt idx="6">
                  <c:v>8.5</c:v>
                </c:pt>
                <c:pt idx="7">
                  <c:v>9.9</c:v>
                </c:pt>
                <c:pt idx="8">
                  <c:v>10.7</c:v>
                </c:pt>
                <c:pt idx="9">
                  <c:v>10.9</c:v>
                </c:pt>
                <c:pt idx="10" formatCode="0.0">
                  <c:v>12</c:v>
                </c:pt>
                <c:pt idx="11">
                  <c:v>12.2</c:v>
                </c:pt>
                <c:pt idx="12">
                  <c:v>12.9</c:v>
                </c:pt>
                <c:pt idx="13">
                  <c:v>13.2</c:v>
                </c:pt>
                <c:pt idx="14">
                  <c:v>13.9</c:v>
                </c:pt>
                <c:pt idx="15" formatCode="0.0">
                  <c:v>15</c:v>
                </c:pt>
                <c:pt idx="16">
                  <c:v>15.1</c:v>
                </c:pt>
                <c:pt idx="17">
                  <c:v>15.3</c:v>
                </c:pt>
                <c:pt idx="18">
                  <c:v>17.100000000000001</c:v>
                </c:pt>
                <c:pt idx="19">
                  <c:v>17.2</c:v>
                </c:pt>
                <c:pt idx="20">
                  <c:v>17.399999999999999</c:v>
                </c:pt>
                <c:pt idx="21">
                  <c:v>18.2</c:v>
                </c:pt>
                <c:pt idx="22">
                  <c:v>18.600000000000001</c:v>
                </c:pt>
                <c:pt idx="23">
                  <c:v>18.8</c:v>
                </c:pt>
                <c:pt idx="24">
                  <c:v>19.100000000000001</c:v>
                </c:pt>
                <c:pt idx="25">
                  <c:v>19.399999999999999</c:v>
                </c:pt>
                <c:pt idx="26">
                  <c:v>21.1</c:v>
                </c:pt>
                <c:pt idx="27">
                  <c:v>22.4</c:v>
                </c:pt>
                <c:pt idx="28" formatCode="0.0">
                  <c:v>23</c:v>
                </c:pt>
                <c:pt idx="29">
                  <c:v>23.1</c:v>
                </c:pt>
                <c:pt idx="30">
                  <c:v>23.5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D40-4779-9890-8CFD23C558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8937856"/>
        <c:axId val="243591424"/>
        <c:axId val="0"/>
      </c:bar3DChart>
      <c:catAx>
        <c:axId val="17893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3591424"/>
        <c:crosses val="autoZero"/>
        <c:auto val="1"/>
        <c:lblAlgn val="ctr"/>
        <c:lblOffset val="100"/>
        <c:noMultiLvlLbl val="0"/>
      </c:catAx>
      <c:valAx>
        <c:axId val="24359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8937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0.88429</cdr:x>
      <cdr:y>0.14219</cdr:y>
    </cdr:from>
    <cdr:to>
      <cdr:x>0.95607</cdr:x>
      <cdr:y>0.22555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4856065" y="339578"/>
          <a:ext cx="394178" cy="19908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l-PL" sz="900" b="1">
              <a:solidFill>
                <a:schemeClr val="tx1"/>
              </a:solidFill>
            </a:rPr>
            <a:t>23,5</a:t>
          </a:r>
        </a:p>
      </cdr:txBody>
    </cdr:sp>
  </cdr:relSizeAnchor>
  <cdr:relSizeAnchor xmlns:cdr="http://schemas.openxmlformats.org/drawingml/2006/chartDrawing">
    <cdr:from>
      <cdr:x>0.50995</cdr:x>
      <cdr:y>0.31049</cdr:y>
    </cdr:from>
    <cdr:to>
      <cdr:x>0.58174</cdr:x>
      <cdr:y>0.39385</cdr:y>
    </cdr:to>
    <cdr:sp macro="" textlink="">
      <cdr:nvSpPr>
        <cdr:cNvPr id="3" name="Prostokąt 2"/>
        <cdr:cNvSpPr/>
      </cdr:nvSpPr>
      <cdr:spPr>
        <a:xfrm xmlns:a="http://schemas.openxmlformats.org/drawingml/2006/main">
          <a:off x="3464561" y="887616"/>
          <a:ext cx="487680" cy="2382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>
              <a:solidFill>
                <a:schemeClr val="tx1"/>
              </a:solidFill>
            </a:rPr>
            <a:t>15,1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8897-DA93-488C-AF20-1B4CE7F9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1479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Muciński Emil</dc:creator>
  <cp:lastModifiedBy>Muciński Emil</cp:lastModifiedBy>
  <cp:revision>1</cp:revision>
  <dcterms:created xsi:type="dcterms:W3CDTF">2021-04-20T07:10:00Z</dcterms:created>
  <dcterms:modified xsi:type="dcterms:W3CDTF">2021-04-20T10:00:00Z</dcterms:modified>
</cp:coreProperties>
</file>