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3CF" w:rsidRDefault="00BF53CF" w:rsidP="00BF53CF">
      <w:pPr>
        <w:spacing w:after="0" w:line="240" w:lineRule="auto"/>
        <w:jc w:val="center"/>
        <w:rPr>
          <w:sz w:val="2"/>
          <w:szCs w:val="2"/>
        </w:rPr>
      </w:pPr>
      <w:r>
        <w:rPr>
          <w:noProof/>
          <w:sz w:val="2"/>
          <w:szCs w:val="2"/>
          <w:lang w:eastAsia="pl-PL"/>
        </w:rPr>
        <w:drawing>
          <wp:inline distT="0" distB="0" distL="0" distR="0" wp14:anchorId="1846000F" wp14:editId="507CFE77">
            <wp:extent cx="2238375" cy="1857375"/>
            <wp:effectExtent l="0" t="0" r="9525" b="0"/>
            <wp:docPr id="2" name="Obraz 2" descr="0c428292-28c0-4f74-b347-08cf9b51f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c428292-28c0-4f74-b347-08cf9b51f9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3CF" w:rsidRPr="006044F9" w:rsidRDefault="00BF53CF" w:rsidP="00BF53CF">
      <w:pPr>
        <w:spacing w:after="0" w:line="240" w:lineRule="auto"/>
        <w:jc w:val="center"/>
        <w:rPr>
          <w:b/>
          <w:bCs/>
          <w:sz w:val="10"/>
        </w:rPr>
      </w:pPr>
    </w:p>
    <w:p w:rsidR="00BF53CF" w:rsidRPr="00F77069" w:rsidRDefault="00BF53CF" w:rsidP="00BF53CF">
      <w:pPr>
        <w:pStyle w:val="Tekstpodstawowy2"/>
        <w:tabs>
          <w:tab w:val="left" w:pos="0"/>
          <w:tab w:val="left" w:pos="8647"/>
          <w:tab w:val="left" w:pos="9072"/>
        </w:tabs>
        <w:spacing w:after="120" w:line="360" w:lineRule="auto"/>
        <w:ind w:firstLine="0"/>
        <w:jc w:val="right"/>
        <w:rPr>
          <w:b w:val="0"/>
          <w:bCs w:val="0"/>
          <w:sz w:val="18"/>
        </w:rPr>
      </w:pPr>
      <w:r w:rsidRPr="00F77069">
        <w:rPr>
          <w:b w:val="0"/>
          <w:bCs w:val="0"/>
          <w:sz w:val="18"/>
        </w:rPr>
        <w:t xml:space="preserve">Warszawa, </w:t>
      </w:r>
      <w:r w:rsidR="00A330F7">
        <w:rPr>
          <w:b w:val="0"/>
          <w:bCs w:val="0"/>
          <w:sz w:val="18"/>
          <w:lang w:val="pl-PL"/>
        </w:rPr>
        <w:t>30 czerwca</w:t>
      </w:r>
      <w:r w:rsidR="00FD7DF9">
        <w:rPr>
          <w:b w:val="0"/>
          <w:bCs w:val="0"/>
          <w:sz w:val="18"/>
          <w:lang w:val="pl-PL"/>
        </w:rPr>
        <w:t xml:space="preserve"> </w:t>
      </w:r>
      <w:r w:rsidRPr="00F77069">
        <w:rPr>
          <w:b w:val="0"/>
          <w:bCs w:val="0"/>
          <w:sz w:val="18"/>
          <w:lang w:val="pl-PL"/>
        </w:rPr>
        <w:t>2</w:t>
      </w:r>
      <w:r w:rsidRPr="00F77069">
        <w:rPr>
          <w:b w:val="0"/>
          <w:bCs w:val="0"/>
          <w:sz w:val="18"/>
        </w:rPr>
        <w:t>0</w:t>
      </w:r>
      <w:r>
        <w:rPr>
          <w:b w:val="0"/>
          <w:bCs w:val="0"/>
          <w:sz w:val="18"/>
          <w:lang w:val="pl-PL"/>
        </w:rPr>
        <w:t>2</w:t>
      </w:r>
      <w:r w:rsidR="006B68C5">
        <w:rPr>
          <w:b w:val="0"/>
          <w:bCs w:val="0"/>
          <w:sz w:val="18"/>
          <w:lang w:val="pl-PL"/>
        </w:rPr>
        <w:t>1</w:t>
      </w:r>
      <w:r w:rsidRPr="00F77069">
        <w:rPr>
          <w:b w:val="0"/>
          <w:bCs w:val="0"/>
          <w:sz w:val="18"/>
        </w:rPr>
        <w:t xml:space="preserve"> r.</w:t>
      </w:r>
    </w:p>
    <w:p w:rsidR="00BF53CF" w:rsidRDefault="00BF53CF" w:rsidP="00BF53CF">
      <w:pPr>
        <w:pStyle w:val="Tekstpodstawowy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0"/>
          <w:tab w:val="left" w:pos="8647"/>
          <w:tab w:val="left" w:pos="9072"/>
        </w:tabs>
        <w:ind w:firstLine="0"/>
        <w:jc w:val="center"/>
        <w:outlineLvl w:val="0"/>
        <w:rPr>
          <w:rFonts w:ascii="Times New Roman" w:hAnsi="Times New Roman"/>
          <w:smallCaps/>
          <w:color w:val="003366"/>
          <w:sz w:val="48"/>
          <w:szCs w:val="48"/>
        </w:rPr>
      </w:pPr>
      <w:r>
        <w:rPr>
          <w:rFonts w:ascii="Times New Roman" w:hAnsi="Times New Roman"/>
          <w:smallCaps/>
          <w:color w:val="003366"/>
          <w:sz w:val="48"/>
          <w:szCs w:val="48"/>
          <w:lang w:val="pl-PL"/>
        </w:rPr>
        <w:t xml:space="preserve">RAPORT: </w:t>
      </w:r>
      <w:r w:rsidR="00897B49">
        <w:rPr>
          <w:rFonts w:ascii="Times New Roman" w:hAnsi="Times New Roman"/>
          <w:smallCaps/>
          <w:color w:val="003366"/>
          <w:sz w:val="48"/>
          <w:szCs w:val="48"/>
          <w:lang w:val="pl-PL"/>
        </w:rPr>
        <w:t>Gospodarka</w:t>
      </w:r>
      <w:r w:rsidR="00F66F1C">
        <w:rPr>
          <w:rFonts w:ascii="Times New Roman" w:hAnsi="Times New Roman"/>
          <w:smallCaps/>
          <w:color w:val="003366"/>
          <w:sz w:val="48"/>
          <w:szCs w:val="48"/>
          <w:lang w:val="pl-PL"/>
        </w:rPr>
        <w:t xml:space="preserve"> i Energetyka</w:t>
      </w:r>
    </w:p>
    <w:p w:rsidR="00BF53CF" w:rsidRPr="00ED0171" w:rsidRDefault="00BF53CF" w:rsidP="00BF53CF">
      <w:pPr>
        <w:spacing w:after="0" w:line="240" w:lineRule="auto"/>
        <w:jc w:val="both"/>
        <w:rPr>
          <w:b/>
          <w:sz w:val="16"/>
          <w:szCs w:val="16"/>
        </w:rPr>
      </w:pPr>
    </w:p>
    <w:p w:rsidR="00697790" w:rsidRDefault="00697790" w:rsidP="00897B49">
      <w:pPr>
        <w:spacing w:after="0" w:line="240" w:lineRule="auto"/>
        <w:jc w:val="both"/>
        <w:rPr>
          <w:b/>
          <w:sz w:val="28"/>
          <w:szCs w:val="28"/>
        </w:rPr>
      </w:pPr>
      <w:bookmarkStart w:id="0" w:name="_GoBack"/>
    </w:p>
    <w:p w:rsidR="00697790" w:rsidRPr="00897B49" w:rsidRDefault="00697790" w:rsidP="00897B49">
      <w:pPr>
        <w:spacing w:after="0" w:line="240" w:lineRule="auto"/>
        <w:jc w:val="both"/>
        <w:rPr>
          <w:b/>
          <w:sz w:val="16"/>
          <w:szCs w:val="28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00"/>
        <w:gridCol w:w="8172"/>
      </w:tblGrid>
      <w:tr w:rsidR="00897B49" w:rsidRPr="00897B49" w:rsidTr="007D109D">
        <w:tc>
          <w:tcPr>
            <w:tcW w:w="900" w:type="dxa"/>
          </w:tcPr>
          <w:p w:rsidR="00897B49" w:rsidRPr="00897B49" w:rsidRDefault="00897B49" w:rsidP="00897B49">
            <w:pPr>
              <w:spacing w:after="0" w:line="240" w:lineRule="auto"/>
              <w:jc w:val="right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noProof/>
                <w:sz w:val="10"/>
                <w:szCs w:val="16"/>
                <w:lang w:eastAsia="pl-PL"/>
              </w:rPr>
              <w:drawing>
                <wp:inline distT="0" distB="0" distL="0" distR="0" wp14:anchorId="17423317" wp14:editId="61AEBA2B">
                  <wp:extent cx="504825" cy="752475"/>
                  <wp:effectExtent l="0" t="0" r="9525" b="9525"/>
                  <wp:docPr id="5" name="Obraz 5" descr="steinho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 descr="steinho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2" w:type="dxa"/>
          </w:tcPr>
          <w:p w:rsidR="00897B49" w:rsidRPr="00897B49" w:rsidRDefault="00897B49" w:rsidP="00897B49">
            <w:pPr>
              <w:spacing w:after="0" w:line="240" w:lineRule="auto"/>
              <w:jc w:val="both"/>
              <w:rPr>
                <w:rFonts w:ascii="Bookman Old Style" w:hAnsi="Bookman Old Style"/>
                <w:b/>
                <w:caps/>
                <w:sz w:val="16"/>
                <w:szCs w:val="16"/>
              </w:rPr>
            </w:pPr>
            <w:r w:rsidRPr="00897B49">
              <w:rPr>
                <w:rFonts w:ascii="Bookman Old Style" w:hAnsi="Bookman Old Style"/>
                <w:b/>
                <w:caps/>
                <w:sz w:val="16"/>
                <w:szCs w:val="16"/>
              </w:rPr>
              <w:t>dr Janusz Steinhoff</w:t>
            </w:r>
          </w:p>
          <w:p w:rsidR="00897B49" w:rsidRPr="00897B49" w:rsidRDefault="00897B49" w:rsidP="00897B49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97B49">
              <w:rPr>
                <w:rFonts w:ascii="Bookman Old Style" w:hAnsi="Bookman Old Style"/>
                <w:b/>
                <w:sz w:val="16"/>
                <w:szCs w:val="16"/>
              </w:rPr>
              <w:t>minister gospodarki Gospodarczego Gabinetu Cieni BCC</w:t>
            </w:r>
          </w:p>
          <w:p w:rsidR="00897B49" w:rsidRPr="00897B49" w:rsidRDefault="00897B49" w:rsidP="00897B49">
            <w:pPr>
              <w:spacing w:after="0" w:line="240" w:lineRule="auto"/>
              <w:jc w:val="both"/>
              <w:rPr>
                <w:rFonts w:ascii="Bookman Old Style" w:hAnsi="Bookman Old Style"/>
                <w:i/>
                <w:sz w:val="14"/>
                <w:szCs w:val="14"/>
              </w:rPr>
            </w:pPr>
            <w:r w:rsidRPr="00897B49">
              <w:rPr>
                <w:rFonts w:ascii="Bookman Old Style" w:hAnsi="Bookman Old Style"/>
                <w:i/>
                <w:sz w:val="14"/>
                <w:szCs w:val="14"/>
              </w:rPr>
              <w:t>B. wicepremier, minister gospodarki w rządzie Jerzego Buzka w latach 1997–2001. Ekspert ds. energetyki, ochrony środowiska, procesów restrukturyzacji górnictwa. Poseł w latach 1989-1993 oraz 1997-2001. B. prezes Wyższego Urzędu Górniczego. Przewodniczący Rady Krajowej Izby Gospodarczej oraz Rady Regionalnej Izby Gospodarczej w Katowicach. Ekspert BCC ds. gospodarki i energetyki.</w:t>
            </w:r>
          </w:p>
          <w:p w:rsidR="00897B49" w:rsidRPr="00897B49" w:rsidRDefault="00897B49" w:rsidP="00897B49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97B49">
              <w:rPr>
                <w:rFonts w:ascii="Bookman Old Style" w:hAnsi="Bookman Old Style"/>
                <w:b/>
                <w:sz w:val="14"/>
                <w:szCs w:val="14"/>
              </w:rPr>
              <w:sym w:font="Wingdings" w:char="F02A"/>
            </w:r>
            <w:r w:rsidRPr="00897B49">
              <w:rPr>
                <w:rFonts w:ascii="Bookman Old Style" w:hAnsi="Bookman Old Style"/>
                <w:b/>
                <w:sz w:val="14"/>
                <w:szCs w:val="14"/>
              </w:rPr>
              <w:t xml:space="preserve"> janusz.steinhoff@bcc.org.pl</w:t>
            </w:r>
          </w:p>
          <w:p w:rsidR="00897B49" w:rsidRPr="00897B49" w:rsidRDefault="00897B49" w:rsidP="00897B49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14"/>
                <w:szCs w:val="14"/>
              </w:rPr>
            </w:pPr>
          </w:p>
          <w:p w:rsidR="00897B49" w:rsidRPr="00897B49" w:rsidRDefault="00897B49" w:rsidP="00897B49">
            <w:pPr>
              <w:spacing w:after="0" w:line="240" w:lineRule="auto"/>
              <w:ind w:left="-1008"/>
              <w:jc w:val="both"/>
              <w:rPr>
                <w:rFonts w:ascii="Bookman Old Style" w:hAnsi="Bookman Old Style"/>
                <w:b/>
                <w:sz w:val="14"/>
                <w:szCs w:val="14"/>
              </w:rPr>
            </w:pPr>
          </w:p>
          <w:p w:rsidR="00897B49" w:rsidRPr="00897B49" w:rsidRDefault="00897B49" w:rsidP="00897B49">
            <w:pPr>
              <w:spacing w:after="0" w:line="240" w:lineRule="auto"/>
              <w:jc w:val="both"/>
              <w:rPr>
                <w:rFonts w:ascii="Bookman Old Style" w:hAnsi="Bookman Old Style"/>
                <w:sz w:val="14"/>
                <w:szCs w:val="14"/>
              </w:rPr>
            </w:pPr>
          </w:p>
        </w:tc>
      </w:tr>
    </w:tbl>
    <w:p w:rsidR="00840781" w:rsidRPr="00697790" w:rsidRDefault="00604702" w:rsidP="00BF53CF">
      <w:pPr>
        <w:spacing w:after="0"/>
        <w:rPr>
          <w:rFonts w:ascii="Arial" w:hAnsi="Arial" w:cs="Arial"/>
          <w:sz w:val="14"/>
          <w:szCs w:val="16"/>
        </w:rPr>
      </w:pPr>
      <w:r w:rsidRPr="00697790">
        <w:rPr>
          <w:rFonts w:ascii="Arial" w:hAnsi="Arial" w:cs="Arial"/>
          <w:b/>
          <w:bCs/>
          <w:sz w:val="20"/>
        </w:rPr>
        <w:t>REKOMENDACJE DLA RZĄDU</w:t>
      </w:r>
    </w:p>
    <w:p w:rsidR="00840781" w:rsidRDefault="00840781" w:rsidP="00BF53CF">
      <w:pPr>
        <w:spacing w:after="0"/>
        <w:rPr>
          <w:sz w:val="18"/>
          <w:szCs w:val="16"/>
        </w:rPr>
      </w:pPr>
    </w:p>
    <w:p w:rsidR="00A330F7" w:rsidRPr="00A330F7" w:rsidRDefault="00A330F7" w:rsidP="00A330F7">
      <w:pPr>
        <w:pStyle w:val="Akapitzlist"/>
        <w:numPr>
          <w:ilvl w:val="0"/>
          <w:numId w:val="22"/>
        </w:numPr>
        <w:spacing w:line="312" w:lineRule="auto"/>
        <w:contextualSpacing/>
        <w:jc w:val="both"/>
        <w:rPr>
          <w:rFonts w:ascii="Arial" w:hAnsi="Arial" w:cs="Arial"/>
          <w:sz w:val="18"/>
        </w:rPr>
      </w:pPr>
      <w:r w:rsidRPr="00A330F7">
        <w:rPr>
          <w:rFonts w:ascii="Arial" w:hAnsi="Arial" w:cs="Arial"/>
          <w:sz w:val="18"/>
        </w:rPr>
        <w:t xml:space="preserve">Jednym z najistotniejszych wyzwań dla konkurencyjności znaczącej części polskiej gospodarki (szczególnie jej najbardziej energochłonnej części) są ceny energii. Hurtowe ceny funkcjonujące w naszym kraju należą do najwyższych w UE. To efekt archaicznego </w:t>
      </w:r>
      <w:proofErr w:type="spellStart"/>
      <w:r w:rsidRPr="00A330F7">
        <w:rPr>
          <w:rFonts w:ascii="Arial" w:hAnsi="Arial" w:cs="Arial"/>
          <w:sz w:val="18"/>
        </w:rPr>
        <w:t>mixu</w:t>
      </w:r>
      <w:proofErr w:type="spellEnd"/>
      <w:r w:rsidRPr="00A330F7">
        <w:rPr>
          <w:rFonts w:ascii="Arial" w:hAnsi="Arial" w:cs="Arial"/>
          <w:sz w:val="18"/>
        </w:rPr>
        <w:t xml:space="preserve"> energetycznego, nie w pełni konkurencyjnego rynku energii oraz dynamicznie rosnących kosztów emisji CO2. Uwzględniając fakt, iż jesteśmy jednym z czołowych krajów na świecie pod względem wielkości emisji przypadającej na  jednostkę wyprodukowanej energii koszty jej  wytwarzania po ostatnich wzrostach cen emisji (ponad 50 euro/tonę) rosną dynamicznie</w:t>
      </w:r>
      <w:r>
        <w:rPr>
          <w:rFonts w:ascii="Arial" w:hAnsi="Arial" w:cs="Arial"/>
          <w:sz w:val="18"/>
        </w:rPr>
        <w:t xml:space="preserve">. Dlatego </w:t>
      </w:r>
      <w:r w:rsidRPr="00A330F7">
        <w:rPr>
          <w:rFonts w:ascii="Arial" w:hAnsi="Arial" w:cs="Arial"/>
          <w:sz w:val="18"/>
        </w:rPr>
        <w:t>należy, realizując</w:t>
      </w:r>
      <w:r w:rsidRPr="00A330F7">
        <w:rPr>
          <w:rFonts w:ascii="Arial" w:hAnsi="Arial" w:cs="Arial"/>
          <w:sz w:val="18"/>
        </w:rPr>
        <w:t xml:space="preserve"> przyjętą przez Radę Ministrów politykę energetyczną państwa, przyśpieszyć przebudowę sektora energetycznego stosując skuteczne narzędzia wsparcia dla inwestycji w podsektorze wytwarzania energii elektrycznej opartych na technologiach zero lub niskoemisyjnych (morskie i lądowe farmy wiatrowe, </w:t>
      </w:r>
      <w:proofErr w:type="spellStart"/>
      <w:r w:rsidRPr="00A330F7">
        <w:rPr>
          <w:rFonts w:ascii="Arial" w:hAnsi="Arial" w:cs="Arial"/>
          <w:sz w:val="18"/>
        </w:rPr>
        <w:t>fotowoltaika</w:t>
      </w:r>
      <w:proofErr w:type="spellEnd"/>
      <w:r w:rsidRPr="00A330F7">
        <w:rPr>
          <w:rFonts w:ascii="Arial" w:hAnsi="Arial" w:cs="Arial"/>
          <w:sz w:val="18"/>
        </w:rPr>
        <w:t>, biomasa, biogaz itp.). Realizowane programy wsparcia powinny być finansowane w znaczącym stopniu z opłat za emisję CO2, które sta</w:t>
      </w:r>
      <w:r>
        <w:rPr>
          <w:rFonts w:ascii="Arial" w:hAnsi="Arial" w:cs="Arial"/>
          <w:sz w:val="18"/>
        </w:rPr>
        <w:t xml:space="preserve">nowią dochód budżetu. Na uwagę </w:t>
      </w:r>
      <w:r w:rsidRPr="00A330F7">
        <w:rPr>
          <w:rFonts w:ascii="Arial" w:hAnsi="Arial" w:cs="Arial"/>
          <w:sz w:val="18"/>
        </w:rPr>
        <w:t>zasługuje fakt, iż w 2019 r. wpływy budżetowe ze sprzedaży uprawnień do emi</w:t>
      </w:r>
      <w:r>
        <w:rPr>
          <w:rFonts w:ascii="Arial" w:hAnsi="Arial" w:cs="Arial"/>
          <w:sz w:val="18"/>
        </w:rPr>
        <w:t>sji CO2 przekroczyły 11 mld zł.</w:t>
      </w:r>
    </w:p>
    <w:p w:rsidR="00A330F7" w:rsidRPr="00A330F7" w:rsidRDefault="00A330F7" w:rsidP="00A330F7">
      <w:pPr>
        <w:pStyle w:val="Akapitzlist"/>
        <w:spacing w:after="0" w:line="312" w:lineRule="auto"/>
        <w:jc w:val="both"/>
        <w:rPr>
          <w:rFonts w:ascii="Arial" w:hAnsi="Arial" w:cs="Arial"/>
          <w:sz w:val="18"/>
        </w:rPr>
      </w:pPr>
    </w:p>
    <w:p w:rsidR="00A330F7" w:rsidRPr="00A330F7" w:rsidRDefault="00A330F7" w:rsidP="00A330F7">
      <w:pPr>
        <w:pStyle w:val="Akapitzlist"/>
        <w:numPr>
          <w:ilvl w:val="0"/>
          <w:numId w:val="22"/>
        </w:numPr>
        <w:spacing w:line="312" w:lineRule="auto"/>
        <w:contextualSpacing/>
        <w:jc w:val="both"/>
        <w:rPr>
          <w:rFonts w:ascii="Arial" w:hAnsi="Arial" w:cs="Arial"/>
          <w:sz w:val="18"/>
        </w:rPr>
      </w:pPr>
      <w:r w:rsidRPr="00A330F7">
        <w:rPr>
          <w:rFonts w:ascii="Arial" w:hAnsi="Arial" w:cs="Arial"/>
          <w:sz w:val="18"/>
        </w:rPr>
        <w:t>Przeobrażenia elektroenergetyki związane będą z koniecznością alokacji pracowników tego sektora. Dlatego w trybie pilnym, współpracując z partnerami społecznymi, należy opracować i wdrożyć programy osłonowe,</w:t>
      </w:r>
      <w:r>
        <w:rPr>
          <w:rFonts w:ascii="Arial" w:hAnsi="Arial" w:cs="Arial"/>
          <w:sz w:val="18"/>
          <w:lang w:val="pl-PL"/>
        </w:rPr>
        <w:t xml:space="preserve"> </w:t>
      </w:r>
      <w:r w:rsidRPr="00A330F7">
        <w:rPr>
          <w:rFonts w:ascii="Arial" w:hAnsi="Arial" w:cs="Arial"/>
          <w:sz w:val="18"/>
        </w:rPr>
        <w:t>które umożliwią przeprowadzenie nieuchronnych procesów w warunkach spokoju społecznego. Opracowanie tych programów będzie szczególnie ważne dla zagłębi górnictwa węgla brunatnego i związanych z nimi zespołów elektrowni (Bełchatów, Turów) doświadczonych monokulturą  górniczo-energetyczną.</w:t>
      </w:r>
    </w:p>
    <w:p w:rsidR="00A330F7" w:rsidRPr="00A330F7" w:rsidRDefault="00A330F7" w:rsidP="00A330F7">
      <w:pPr>
        <w:pStyle w:val="Akapitzlist"/>
        <w:spacing w:after="0" w:line="312" w:lineRule="auto"/>
        <w:rPr>
          <w:rFonts w:ascii="Arial" w:hAnsi="Arial" w:cs="Arial"/>
          <w:sz w:val="18"/>
        </w:rPr>
      </w:pPr>
    </w:p>
    <w:p w:rsidR="00A330F7" w:rsidRPr="00A330F7" w:rsidRDefault="00A330F7" w:rsidP="00A330F7">
      <w:pPr>
        <w:pStyle w:val="Akapitzlist"/>
        <w:numPr>
          <w:ilvl w:val="0"/>
          <w:numId w:val="22"/>
        </w:numPr>
        <w:spacing w:line="312" w:lineRule="auto"/>
        <w:contextualSpacing/>
        <w:jc w:val="both"/>
        <w:rPr>
          <w:rFonts w:ascii="Arial" w:hAnsi="Arial" w:cs="Arial"/>
          <w:sz w:val="18"/>
        </w:rPr>
      </w:pPr>
      <w:r w:rsidRPr="00A330F7">
        <w:rPr>
          <w:rFonts w:ascii="Arial" w:hAnsi="Arial" w:cs="Arial"/>
          <w:sz w:val="18"/>
        </w:rPr>
        <w:t xml:space="preserve">W świetle doświadczeń realizacji polityki państwa w zakresie energetyki należy dokonać analizy funkcjonalności przyjętego obecnie podziału kompetencji między poszczególnymi członkami Rady Ministrów. </w:t>
      </w:r>
      <w:r>
        <w:rPr>
          <w:rFonts w:ascii="Arial" w:hAnsi="Arial" w:cs="Arial"/>
          <w:sz w:val="18"/>
          <w:lang w:val="pl-PL"/>
        </w:rPr>
        <w:t>Na podstawie tej</w:t>
      </w:r>
      <w:r w:rsidRPr="00A330F7">
        <w:rPr>
          <w:rFonts w:ascii="Arial" w:hAnsi="Arial" w:cs="Arial"/>
          <w:sz w:val="18"/>
        </w:rPr>
        <w:t xml:space="preserve"> analizy</w:t>
      </w:r>
      <w:r>
        <w:rPr>
          <w:rFonts w:ascii="Arial" w:hAnsi="Arial" w:cs="Arial"/>
          <w:sz w:val="18"/>
          <w:lang w:val="pl-PL"/>
        </w:rPr>
        <w:t>,</w:t>
      </w:r>
      <w:r w:rsidRPr="00A330F7">
        <w:rPr>
          <w:rFonts w:ascii="Arial" w:hAnsi="Arial" w:cs="Arial"/>
          <w:sz w:val="18"/>
        </w:rPr>
        <w:t xml:space="preserve"> należy rozważyć powrót do racjonalnego podziału tych kompetencji z wiodącą rolą </w:t>
      </w:r>
      <w:r>
        <w:rPr>
          <w:rFonts w:ascii="Arial" w:hAnsi="Arial" w:cs="Arial"/>
          <w:sz w:val="18"/>
          <w:lang w:val="pl-PL"/>
        </w:rPr>
        <w:t>m</w:t>
      </w:r>
      <w:proofErr w:type="spellStart"/>
      <w:r w:rsidRPr="00A330F7">
        <w:rPr>
          <w:rFonts w:ascii="Arial" w:hAnsi="Arial" w:cs="Arial"/>
          <w:sz w:val="18"/>
        </w:rPr>
        <w:t>inistra</w:t>
      </w:r>
      <w:proofErr w:type="spellEnd"/>
      <w:r w:rsidRPr="00A330F7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  <w:lang w:val="pl-PL"/>
        </w:rPr>
        <w:t>r</w:t>
      </w:r>
      <w:proofErr w:type="spellStart"/>
      <w:r w:rsidRPr="00A330F7">
        <w:rPr>
          <w:rFonts w:ascii="Arial" w:hAnsi="Arial" w:cs="Arial"/>
          <w:sz w:val="18"/>
        </w:rPr>
        <w:t>ozwoju</w:t>
      </w:r>
      <w:proofErr w:type="spellEnd"/>
      <w:r w:rsidRPr="00A330F7">
        <w:rPr>
          <w:rFonts w:ascii="Arial" w:hAnsi="Arial" w:cs="Arial"/>
          <w:sz w:val="18"/>
        </w:rPr>
        <w:t xml:space="preserve"> (dawniej </w:t>
      </w:r>
      <w:r>
        <w:rPr>
          <w:rFonts w:ascii="Arial" w:hAnsi="Arial" w:cs="Arial"/>
          <w:sz w:val="18"/>
          <w:lang w:val="pl-PL"/>
        </w:rPr>
        <w:t>g</w:t>
      </w:r>
      <w:proofErr w:type="spellStart"/>
      <w:r w:rsidRPr="00A330F7">
        <w:rPr>
          <w:rFonts w:ascii="Arial" w:hAnsi="Arial" w:cs="Arial"/>
          <w:sz w:val="18"/>
        </w:rPr>
        <w:t>ospodarki</w:t>
      </w:r>
      <w:proofErr w:type="spellEnd"/>
      <w:r w:rsidRPr="00A330F7">
        <w:rPr>
          <w:rFonts w:ascii="Arial" w:hAnsi="Arial" w:cs="Arial"/>
          <w:sz w:val="18"/>
        </w:rPr>
        <w:t xml:space="preserve">) dysponującego funkcjami regulacyjnymi. </w:t>
      </w:r>
    </w:p>
    <w:p w:rsidR="00E56406" w:rsidRDefault="00E56406" w:rsidP="00BF53CF">
      <w:pPr>
        <w:spacing w:after="0"/>
        <w:rPr>
          <w:rFonts w:ascii="Arial" w:hAnsi="Arial" w:cs="Arial"/>
          <w:sz w:val="18"/>
          <w:szCs w:val="16"/>
        </w:rPr>
      </w:pPr>
    </w:p>
    <w:p w:rsidR="00A330F7" w:rsidRPr="00A330F7" w:rsidRDefault="00A330F7" w:rsidP="00BF53CF">
      <w:pPr>
        <w:spacing w:after="0"/>
        <w:rPr>
          <w:rFonts w:ascii="Arial" w:hAnsi="Arial" w:cs="Arial"/>
          <w:sz w:val="18"/>
          <w:szCs w:val="16"/>
        </w:rPr>
      </w:pPr>
    </w:p>
    <w:p w:rsidR="00604702" w:rsidRPr="00A330F7" w:rsidRDefault="00604702" w:rsidP="00BF53CF">
      <w:pPr>
        <w:spacing w:after="0"/>
        <w:rPr>
          <w:rFonts w:ascii="Arial" w:hAnsi="Arial" w:cs="Arial"/>
          <w:sz w:val="16"/>
          <w:szCs w:val="16"/>
        </w:rPr>
      </w:pPr>
    </w:p>
    <w:p w:rsidR="00E56406" w:rsidRPr="00A330F7" w:rsidRDefault="00604702" w:rsidP="00BF53CF">
      <w:pPr>
        <w:spacing w:after="0"/>
        <w:rPr>
          <w:rFonts w:ascii="Arial" w:hAnsi="Arial" w:cs="Arial"/>
          <w:b/>
          <w:sz w:val="20"/>
        </w:rPr>
      </w:pPr>
      <w:r w:rsidRPr="00A330F7">
        <w:rPr>
          <w:rFonts w:ascii="Arial" w:hAnsi="Arial" w:cs="Arial"/>
          <w:b/>
          <w:sz w:val="20"/>
        </w:rPr>
        <w:lastRenderedPageBreak/>
        <w:t xml:space="preserve">PODSUMOWANIE </w:t>
      </w:r>
      <w:r w:rsidR="00697790" w:rsidRPr="00A330F7">
        <w:rPr>
          <w:rFonts w:ascii="Arial" w:hAnsi="Arial" w:cs="Arial"/>
          <w:b/>
          <w:sz w:val="20"/>
        </w:rPr>
        <w:t>DOTYCHCZASOWYCH DZIAŁAŃ RZĄDU</w:t>
      </w:r>
    </w:p>
    <w:p w:rsidR="00697790" w:rsidRPr="00A330F7" w:rsidRDefault="00697790" w:rsidP="00BF53CF">
      <w:pPr>
        <w:spacing w:after="0"/>
        <w:rPr>
          <w:rFonts w:ascii="Arial" w:hAnsi="Arial" w:cs="Arial"/>
          <w:b/>
        </w:rPr>
      </w:pPr>
    </w:p>
    <w:p w:rsidR="00A330F7" w:rsidRDefault="00A330F7" w:rsidP="00604702">
      <w:pPr>
        <w:spacing w:after="0"/>
        <w:jc w:val="both"/>
        <w:rPr>
          <w:rFonts w:ascii="Arial" w:hAnsi="Arial" w:cs="Arial"/>
          <w:b/>
          <w:sz w:val="18"/>
        </w:rPr>
      </w:pPr>
    </w:p>
    <w:p w:rsidR="00604702" w:rsidRPr="00A330F7" w:rsidRDefault="00604702" w:rsidP="00604702">
      <w:pPr>
        <w:spacing w:after="0"/>
        <w:jc w:val="both"/>
        <w:rPr>
          <w:rFonts w:ascii="Arial" w:hAnsi="Arial" w:cs="Arial"/>
          <w:b/>
          <w:sz w:val="18"/>
        </w:rPr>
      </w:pPr>
      <w:r w:rsidRPr="00A330F7">
        <w:rPr>
          <w:rFonts w:ascii="Arial" w:hAnsi="Arial" w:cs="Arial"/>
          <w:b/>
          <w:sz w:val="18"/>
        </w:rPr>
        <w:t>Pozytywy:</w:t>
      </w:r>
    </w:p>
    <w:p w:rsidR="00A330F7" w:rsidRPr="00A330F7" w:rsidRDefault="00A330F7" w:rsidP="00A330F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604702" w:rsidRPr="00A330F7" w:rsidRDefault="00A330F7" w:rsidP="00A330F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330F7">
        <w:rPr>
          <w:rFonts w:ascii="Arial" w:hAnsi="Arial" w:cs="Arial"/>
          <w:sz w:val="18"/>
          <w:szCs w:val="18"/>
        </w:rPr>
        <w:t>Pozytywnie oceniam fakt, iż  Prezes Urzędu Regulacji Energetyki wydał decyzję dotyczącą projektów budowy morskich farm wiatrowych zlo</w:t>
      </w:r>
      <w:r>
        <w:rPr>
          <w:rFonts w:ascii="Arial" w:hAnsi="Arial" w:cs="Arial"/>
          <w:sz w:val="18"/>
          <w:szCs w:val="18"/>
        </w:rPr>
        <w:t>kalizowanych w polskiej strefie</w:t>
      </w:r>
      <w:r w:rsidRPr="00A330F7">
        <w:rPr>
          <w:rFonts w:ascii="Arial" w:hAnsi="Arial" w:cs="Arial"/>
          <w:sz w:val="18"/>
          <w:szCs w:val="18"/>
        </w:rPr>
        <w:t xml:space="preserve"> ekonomicznej Bałtyku. Decyzja ta oparta jest na obowiązującej od 18.02.2021</w:t>
      </w:r>
      <w:r>
        <w:rPr>
          <w:rFonts w:ascii="Arial" w:hAnsi="Arial" w:cs="Arial"/>
          <w:sz w:val="18"/>
          <w:szCs w:val="18"/>
        </w:rPr>
        <w:t xml:space="preserve"> r.</w:t>
      </w:r>
      <w:r w:rsidRPr="00A330F7">
        <w:rPr>
          <w:rFonts w:ascii="Arial" w:hAnsi="Arial" w:cs="Arial"/>
          <w:sz w:val="18"/>
          <w:szCs w:val="18"/>
        </w:rPr>
        <w:t xml:space="preserve"> ustawie o promowaniu wytwarzania energii elektrycznej w morskich farmach wiatrowych określa zasady udzielenia tym projektom pomocy publicznej (tzn. pokrycia </w:t>
      </w:r>
      <w:r>
        <w:rPr>
          <w:rFonts w:ascii="Arial" w:hAnsi="Arial" w:cs="Arial"/>
          <w:sz w:val="18"/>
          <w:szCs w:val="18"/>
        </w:rPr>
        <w:t>ujemnego salda w oparciu o tzw.</w:t>
      </w:r>
      <w:r w:rsidRPr="00A330F7">
        <w:rPr>
          <w:rFonts w:ascii="Arial" w:hAnsi="Arial" w:cs="Arial"/>
          <w:sz w:val="18"/>
          <w:szCs w:val="18"/>
        </w:rPr>
        <w:t xml:space="preserve"> kontrakt</w:t>
      </w:r>
      <w:r>
        <w:rPr>
          <w:rFonts w:ascii="Arial" w:hAnsi="Arial" w:cs="Arial"/>
          <w:sz w:val="18"/>
          <w:szCs w:val="18"/>
        </w:rPr>
        <w:t xml:space="preserve"> różnicowy) oraz przygotowanych </w:t>
      </w:r>
      <w:r w:rsidRPr="00A330F7">
        <w:rPr>
          <w:rFonts w:ascii="Arial" w:hAnsi="Arial" w:cs="Arial"/>
          <w:sz w:val="18"/>
          <w:szCs w:val="18"/>
        </w:rPr>
        <w:t>planó</w:t>
      </w:r>
      <w:r>
        <w:rPr>
          <w:rFonts w:ascii="Arial" w:hAnsi="Arial" w:cs="Arial"/>
          <w:sz w:val="18"/>
          <w:szCs w:val="18"/>
        </w:rPr>
        <w:t xml:space="preserve">w łańcucha dostaw. Zastosowane </w:t>
      </w:r>
      <w:r w:rsidRPr="00A330F7">
        <w:rPr>
          <w:rFonts w:ascii="Arial" w:hAnsi="Arial" w:cs="Arial"/>
          <w:sz w:val="18"/>
          <w:szCs w:val="18"/>
        </w:rPr>
        <w:t>formy pomocy publicznej pozytywnie oceniła Komi</w:t>
      </w:r>
      <w:r>
        <w:rPr>
          <w:rFonts w:ascii="Arial" w:hAnsi="Arial" w:cs="Arial"/>
          <w:sz w:val="18"/>
          <w:szCs w:val="18"/>
        </w:rPr>
        <w:t>sja Europejska. Decyzja Prezesa</w:t>
      </w:r>
      <w:r w:rsidRPr="00A330F7">
        <w:rPr>
          <w:rFonts w:ascii="Arial" w:hAnsi="Arial" w:cs="Arial"/>
          <w:sz w:val="18"/>
          <w:szCs w:val="18"/>
        </w:rPr>
        <w:t xml:space="preserve"> URE otwiera realizację pięciu projektów budowy morskich farm wiatrowych o sumarycznej mocy 5530 MW!</w:t>
      </w:r>
    </w:p>
    <w:p w:rsidR="00A330F7" w:rsidRPr="00A330F7" w:rsidRDefault="00A330F7" w:rsidP="00A330F7">
      <w:pPr>
        <w:spacing w:after="0" w:line="360" w:lineRule="auto"/>
        <w:jc w:val="both"/>
        <w:rPr>
          <w:rFonts w:ascii="Arial" w:hAnsi="Arial" w:cs="Arial"/>
          <w:sz w:val="20"/>
        </w:rPr>
      </w:pPr>
    </w:p>
    <w:p w:rsidR="00604702" w:rsidRPr="00A330F7" w:rsidRDefault="00604702" w:rsidP="00604702">
      <w:pPr>
        <w:spacing w:after="0"/>
        <w:jc w:val="both"/>
        <w:rPr>
          <w:rFonts w:ascii="Arial" w:hAnsi="Arial" w:cs="Arial"/>
          <w:bCs/>
          <w:sz w:val="18"/>
        </w:rPr>
      </w:pPr>
      <w:r w:rsidRPr="00A330F7">
        <w:rPr>
          <w:rFonts w:ascii="Arial" w:hAnsi="Arial" w:cs="Arial"/>
          <w:b/>
          <w:bCs/>
          <w:sz w:val="18"/>
        </w:rPr>
        <w:t>Zagrożenia:</w:t>
      </w:r>
    </w:p>
    <w:p w:rsidR="00604702" w:rsidRPr="00A330F7" w:rsidRDefault="00604702" w:rsidP="00604702">
      <w:pPr>
        <w:spacing w:after="0"/>
        <w:jc w:val="both"/>
        <w:rPr>
          <w:rFonts w:ascii="Arial" w:hAnsi="Arial" w:cs="Arial"/>
          <w:bCs/>
          <w:sz w:val="18"/>
          <w:szCs w:val="18"/>
        </w:rPr>
      </w:pPr>
    </w:p>
    <w:p w:rsidR="00697790" w:rsidRPr="00A330F7" w:rsidRDefault="00A330F7" w:rsidP="00697790">
      <w:pPr>
        <w:spacing w:after="0" w:line="360" w:lineRule="auto"/>
        <w:jc w:val="both"/>
        <w:rPr>
          <w:rFonts w:ascii="Arial" w:hAnsi="Arial" w:cs="Arial"/>
          <w:b/>
          <w:bCs/>
          <w:sz w:val="16"/>
          <w:szCs w:val="18"/>
        </w:rPr>
      </w:pPr>
      <w:r w:rsidRPr="00A330F7">
        <w:rPr>
          <w:rFonts w:ascii="Arial" w:hAnsi="Arial" w:cs="Arial"/>
          <w:sz w:val="18"/>
          <w:szCs w:val="18"/>
        </w:rPr>
        <w:t>Negatywnie oceniam rolę administracji państwowej w dopuszczeniu do konfliktu z Republiką Czeską  dotyczącą funkcjonowania kopalni węgla brunatnego Turów. Spór ten toczy się przed Europejskim Trybunałem Sprawiedliwości w efekcie braku porozumienia dotyczącego ograniczenia skutków środowiskowych będących konsekwencją działalności górniczej. Próba rozwiązania tego konfliktu</w:t>
      </w:r>
      <w:r>
        <w:rPr>
          <w:rFonts w:ascii="Arial" w:hAnsi="Arial" w:cs="Arial"/>
          <w:sz w:val="18"/>
          <w:szCs w:val="18"/>
        </w:rPr>
        <w:t>,</w:t>
      </w:r>
      <w:r w:rsidRPr="00A330F7">
        <w:rPr>
          <w:rFonts w:ascii="Arial" w:hAnsi="Arial" w:cs="Arial"/>
          <w:sz w:val="18"/>
          <w:szCs w:val="18"/>
        </w:rPr>
        <w:t xml:space="preserve"> w konsekwencji nieroztropnej i niewykonalnej decyzji wiceprezes TSUE</w:t>
      </w:r>
      <w:r>
        <w:rPr>
          <w:rFonts w:ascii="Arial" w:hAnsi="Arial" w:cs="Arial"/>
          <w:sz w:val="18"/>
          <w:szCs w:val="18"/>
        </w:rPr>
        <w:t xml:space="preserve">, </w:t>
      </w:r>
      <w:r w:rsidRPr="00A330F7">
        <w:rPr>
          <w:rFonts w:ascii="Arial" w:hAnsi="Arial" w:cs="Arial"/>
          <w:sz w:val="18"/>
          <w:szCs w:val="18"/>
        </w:rPr>
        <w:t>stanowi niestety przykład braku wyobraźni i profesjonalizmu przedstawicieli administracji.</w:t>
      </w:r>
    </w:p>
    <w:bookmarkEnd w:id="0"/>
    <w:p w:rsidR="007F6EF2" w:rsidRPr="00A330F7" w:rsidRDefault="007F6EF2" w:rsidP="00BF53CF">
      <w:pPr>
        <w:spacing w:after="0" w:line="100" w:lineRule="atLeast"/>
        <w:jc w:val="both"/>
        <w:rPr>
          <w:rFonts w:ascii="Arial" w:hAnsi="Arial" w:cs="Arial"/>
          <w:sz w:val="16"/>
          <w:szCs w:val="18"/>
        </w:rPr>
      </w:pPr>
    </w:p>
    <w:p w:rsidR="00D4133F" w:rsidRPr="00D4133F" w:rsidRDefault="00D4133F" w:rsidP="00D4133F">
      <w:pPr>
        <w:spacing w:line="330" w:lineRule="atLeast"/>
        <w:jc w:val="both"/>
        <w:textAlignment w:val="baseline"/>
        <w:rPr>
          <w:rFonts w:eastAsia="Times New Roman"/>
          <w:i/>
          <w:color w:val="000000"/>
          <w:bdr w:val="none" w:sz="0" w:space="0" w:color="auto" w:frame="1"/>
        </w:rPr>
      </w:pPr>
      <w:r>
        <w:rPr>
          <w:rFonts w:ascii="Arial" w:eastAsia="Times New Roman" w:hAnsi="Arial" w:cs="Arial"/>
          <w:i/>
          <w:color w:val="000000"/>
          <w:sz w:val="18"/>
          <w:szCs w:val="18"/>
          <w:bdr w:val="none" w:sz="0" w:space="0" w:color="auto" w:frame="1"/>
        </w:rPr>
        <w:t>Opracowanie jest elementem Raportu Gospodarczego Gabinetu Cieni BCC dot. II kwartału. W kolejnych dniach będziemy prezentować poglądy poszczególnych ministrów związane z obecną sytuacją gospodarczą oraz rekomendacje dla rządu na najbliższe miesiące. </w:t>
      </w:r>
    </w:p>
    <w:p w:rsidR="00D4133F" w:rsidRDefault="00D4133F" w:rsidP="00D4133F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:rsidR="00D4133F" w:rsidRDefault="00D4133F" w:rsidP="00D4133F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:rsidR="00D4133F" w:rsidRDefault="00D4133F" w:rsidP="00D4133F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:rsidR="00D4133F" w:rsidRDefault="00D4133F" w:rsidP="00D4133F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:rsidR="00D4133F" w:rsidRDefault="00D4133F" w:rsidP="00D4133F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:rsidR="00D4133F" w:rsidRDefault="00D4133F" w:rsidP="00D4133F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:rsidR="00D4133F" w:rsidRDefault="00D4133F" w:rsidP="00D4133F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:rsidR="00D4133F" w:rsidRDefault="00D4133F" w:rsidP="00D4133F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:rsidR="00D4133F" w:rsidRDefault="00D4133F" w:rsidP="00D4133F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:rsidR="00D4133F" w:rsidRDefault="00D4133F" w:rsidP="00D4133F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:rsidR="00D4133F" w:rsidRDefault="00D4133F" w:rsidP="00D4133F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:rsidR="00D4133F" w:rsidRDefault="00D4133F" w:rsidP="00D4133F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:rsidR="00D4133F" w:rsidRDefault="00D4133F" w:rsidP="00D4133F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:rsidR="00D4133F" w:rsidRDefault="00D4133F" w:rsidP="00D4133F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:rsidR="00D4133F" w:rsidRDefault="00D4133F" w:rsidP="00D4133F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:rsidR="00D4133F" w:rsidRDefault="00D4133F" w:rsidP="00D4133F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:rsidR="00D4133F" w:rsidRDefault="00D4133F" w:rsidP="00D4133F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:rsidR="00D4133F" w:rsidRDefault="00D4133F" w:rsidP="00D4133F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:rsidR="00D4133F" w:rsidRDefault="00D4133F" w:rsidP="00D4133F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:rsidR="00D4133F" w:rsidRDefault="00D4133F" w:rsidP="00D4133F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:rsidR="00D4133F" w:rsidRDefault="00D4133F" w:rsidP="00D4133F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:rsidR="00D4133F" w:rsidRDefault="00D4133F" w:rsidP="00D4133F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:rsidR="00D4133F" w:rsidRDefault="00D4133F" w:rsidP="00D4133F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:rsidR="00D4133F" w:rsidRDefault="00D4133F" w:rsidP="00D4133F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:rsidR="00D4133F" w:rsidRDefault="00D4133F" w:rsidP="00D4133F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:rsidR="00D4133F" w:rsidRPr="00293627" w:rsidRDefault="00D4133F" w:rsidP="00D4133F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  <w:r w:rsidRPr="00293627">
        <w:rPr>
          <w:rFonts w:ascii="Arial" w:hAnsi="Arial" w:cs="Arial"/>
          <w:sz w:val="16"/>
          <w:szCs w:val="18"/>
          <w:u w:val="single"/>
        </w:rPr>
        <w:t>Kontakt:</w:t>
      </w:r>
    </w:p>
    <w:p w:rsidR="00D4133F" w:rsidRPr="00CF32D4" w:rsidRDefault="00D4133F" w:rsidP="00D4133F">
      <w:pPr>
        <w:spacing w:after="0" w:line="100" w:lineRule="atLeast"/>
        <w:jc w:val="both"/>
        <w:rPr>
          <w:rFonts w:ascii="Arial" w:hAnsi="Arial" w:cs="Arial"/>
          <w:b/>
          <w:bCs/>
          <w:sz w:val="16"/>
          <w:szCs w:val="18"/>
          <w:u w:val="single"/>
        </w:rPr>
      </w:pPr>
    </w:p>
    <w:p w:rsidR="00D4133F" w:rsidRPr="00CF32D4" w:rsidRDefault="00D4133F" w:rsidP="00D4133F">
      <w:pPr>
        <w:suppressAutoHyphens/>
        <w:spacing w:after="0" w:line="100" w:lineRule="atLeast"/>
        <w:rPr>
          <w:rFonts w:ascii="Arial" w:eastAsia="Arial Unicode MS" w:hAnsi="Arial" w:cs="Arial"/>
          <w:b/>
          <w:bCs/>
          <w:sz w:val="16"/>
          <w:szCs w:val="18"/>
          <w:lang w:eastAsia="ar-SA"/>
        </w:rPr>
      </w:pPr>
      <w:r w:rsidRPr="00CF32D4">
        <w:rPr>
          <w:rFonts w:ascii="Arial" w:eastAsia="Arial Unicode MS" w:hAnsi="Arial" w:cs="Arial"/>
          <w:b/>
          <w:bCs/>
          <w:sz w:val="16"/>
          <w:szCs w:val="18"/>
          <w:lang w:eastAsia="ar-SA"/>
        </w:rPr>
        <w:t>Emil Muciński</w:t>
      </w:r>
    </w:p>
    <w:p w:rsidR="00D4133F" w:rsidRPr="00CF32D4" w:rsidRDefault="00D4133F" w:rsidP="00D4133F">
      <w:pPr>
        <w:suppressAutoHyphens/>
        <w:spacing w:after="0" w:line="100" w:lineRule="atLeast"/>
        <w:rPr>
          <w:rFonts w:ascii="Arial" w:eastAsia="Arial Unicode MS" w:hAnsi="Arial" w:cs="Arial"/>
          <w:sz w:val="16"/>
          <w:szCs w:val="18"/>
          <w:lang w:eastAsia="ar-SA"/>
        </w:rPr>
      </w:pPr>
      <w:r w:rsidRPr="00CF32D4">
        <w:rPr>
          <w:rFonts w:ascii="Arial" w:eastAsia="Arial Unicode MS" w:hAnsi="Arial" w:cs="Arial"/>
          <w:sz w:val="16"/>
          <w:szCs w:val="18"/>
          <w:lang w:eastAsia="ar-SA"/>
        </w:rPr>
        <w:t>rzecznik,</w:t>
      </w:r>
      <w:r>
        <w:rPr>
          <w:rFonts w:ascii="Arial" w:eastAsia="Arial Unicode MS" w:hAnsi="Arial" w:cs="Arial"/>
          <w:sz w:val="16"/>
          <w:szCs w:val="18"/>
          <w:lang w:eastAsia="ar-SA"/>
        </w:rPr>
        <w:t xml:space="preserve"> dyrektor</w:t>
      </w:r>
      <w:r w:rsidRPr="00CF32D4">
        <w:rPr>
          <w:rFonts w:ascii="Arial" w:eastAsia="Arial Unicode MS" w:hAnsi="Arial" w:cs="Arial"/>
          <w:sz w:val="16"/>
          <w:szCs w:val="18"/>
          <w:lang w:eastAsia="ar-SA"/>
        </w:rPr>
        <w:t xml:space="preserve"> Instytut</w:t>
      </w:r>
      <w:r>
        <w:rPr>
          <w:rFonts w:ascii="Arial" w:eastAsia="Arial Unicode MS" w:hAnsi="Arial" w:cs="Arial"/>
          <w:sz w:val="16"/>
          <w:szCs w:val="18"/>
          <w:lang w:eastAsia="ar-SA"/>
        </w:rPr>
        <w:t>u</w:t>
      </w:r>
      <w:r w:rsidRPr="00CF32D4">
        <w:rPr>
          <w:rFonts w:ascii="Arial" w:eastAsia="Arial Unicode MS" w:hAnsi="Arial" w:cs="Arial"/>
          <w:sz w:val="16"/>
          <w:szCs w:val="18"/>
          <w:lang w:eastAsia="ar-SA"/>
        </w:rPr>
        <w:t xml:space="preserve"> Interwencji Gospodarczych BCC</w:t>
      </w:r>
    </w:p>
    <w:p w:rsidR="00D4133F" w:rsidRPr="00CF32D4" w:rsidRDefault="00D4133F" w:rsidP="00D4133F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6"/>
          <w:szCs w:val="18"/>
          <w:lang w:val="en-US" w:eastAsia="ar-SA"/>
        </w:rPr>
      </w:pPr>
      <w:r w:rsidRPr="00CF32D4">
        <w:rPr>
          <w:rFonts w:ascii="Arial" w:eastAsia="Arial Unicode MS" w:hAnsi="Arial" w:cs="Arial"/>
          <w:sz w:val="16"/>
          <w:szCs w:val="18"/>
          <w:lang w:val="en-US" w:eastAsia="ar-SA"/>
        </w:rPr>
        <w:t>tel. 602 571</w:t>
      </w:r>
      <w:r>
        <w:rPr>
          <w:rFonts w:ascii="Arial" w:eastAsia="Arial Unicode MS" w:hAnsi="Arial" w:cs="Arial"/>
          <w:sz w:val="16"/>
          <w:szCs w:val="18"/>
          <w:lang w:val="en-US" w:eastAsia="ar-SA"/>
        </w:rPr>
        <w:t> </w:t>
      </w:r>
      <w:r w:rsidRPr="00CF32D4">
        <w:rPr>
          <w:rFonts w:ascii="Arial" w:eastAsia="Arial Unicode MS" w:hAnsi="Arial" w:cs="Arial"/>
          <w:sz w:val="16"/>
          <w:szCs w:val="18"/>
          <w:lang w:val="en-US" w:eastAsia="ar-SA"/>
        </w:rPr>
        <w:t>395</w:t>
      </w:r>
      <w:r>
        <w:rPr>
          <w:rFonts w:ascii="Arial" w:eastAsia="Arial Unicode MS" w:hAnsi="Arial" w:cs="Arial"/>
          <w:sz w:val="16"/>
          <w:szCs w:val="18"/>
          <w:lang w:val="en-US" w:eastAsia="ar-SA"/>
        </w:rPr>
        <w:t xml:space="preserve">, </w:t>
      </w:r>
      <w:r w:rsidRPr="00CF32D4">
        <w:rPr>
          <w:rFonts w:ascii="Arial" w:eastAsia="Arial Unicode MS" w:hAnsi="Arial" w:cs="Arial"/>
          <w:sz w:val="16"/>
          <w:szCs w:val="18"/>
          <w:lang w:val="en-US" w:eastAsia="ar-SA"/>
        </w:rPr>
        <w:t xml:space="preserve">e-mail: </w:t>
      </w:r>
      <w:hyperlink r:id="rId10" w:history="1">
        <w:r w:rsidRPr="001C0D57">
          <w:rPr>
            <w:rStyle w:val="Hipercze"/>
            <w:rFonts w:ascii="Arial" w:eastAsia="Arial Unicode MS" w:hAnsi="Arial" w:cs="Arial"/>
            <w:sz w:val="16"/>
            <w:szCs w:val="18"/>
            <w:lang w:val="en-US" w:eastAsia="ar-SA"/>
          </w:rPr>
          <w:t>emil.mucinski@bcc.pl</w:t>
        </w:r>
      </w:hyperlink>
    </w:p>
    <w:p w:rsidR="00BF53CF" w:rsidRDefault="00BF53CF" w:rsidP="00BF53CF">
      <w:pPr>
        <w:spacing w:after="0" w:line="240" w:lineRule="auto"/>
        <w:jc w:val="both"/>
        <w:rPr>
          <w:b/>
          <w:sz w:val="20"/>
          <w:szCs w:val="28"/>
        </w:rPr>
      </w:pPr>
    </w:p>
    <w:p w:rsidR="00B549F7" w:rsidRPr="00BF53CF" w:rsidRDefault="00BF53CF">
      <w:pPr>
        <w:pBdr>
          <w:top w:val="single" w:sz="2" w:space="6" w:color="C00000"/>
        </w:pBdr>
        <w:spacing w:after="0" w:line="240" w:lineRule="auto"/>
        <w:jc w:val="both"/>
        <w:rPr>
          <w:rFonts w:cs="Calibri"/>
          <w:i/>
          <w:color w:val="808080"/>
          <w:sz w:val="14"/>
          <w:szCs w:val="16"/>
        </w:rPr>
      </w:pPr>
      <w:r w:rsidRPr="00303D9E">
        <w:rPr>
          <w:rFonts w:cs="Calibri"/>
          <w:b/>
          <w:i/>
          <w:color w:val="808080"/>
          <w:sz w:val="14"/>
          <w:szCs w:val="16"/>
        </w:rPr>
        <w:t>Gospodarczy Gabinet Cieni Business Centre Club</w:t>
      </w:r>
      <w:r w:rsidRPr="00303D9E">
        <w:rPr>
          <w:rFonts w:cs="Calibri"/>
          <w:i/>
          <w:color w:val="808080"/>
          <w:sz w:val="14"/>
          <w:szCs w:val="16"/>
        </w:rPr>
        <w:t xml:space="preserve"> to </w:t>
      </w:r>
      <w:proofErr w:type="spellStart"/>
      <w:r w:rsidRPr="00303D9E">
        <w:rPr>
          <w:rFonts w:cs="Calibri"/>
          <w:i/>
          <w:color w:val="808080"/>
          <w:sz w:val="14"/>
          <w:szCs w:val="16"/>
        </w:rPr>
        <w:t>think</w:t>
      </w:r>
      <w:proofErr w:type="spellEnd"/>
      <w:r w:rsidRPr="00303D9E">
        <w:rPr>
          <w:rFonts w:cs="Calibri"/>
          <w:i/>
          <w:color w:val="808080"/>
          <w:sz w:val="14"/>
          <w:szCs w:val="16"/>
        </w:rPr>
        <w:t xml:space="preserve"> tank powołany w kwietniu 2012 r., aby wspierać działania prorozwojowe władz publicznych, monitorować prace resortów kluczowych dla przedsiębiorczości, rekomendować zmiany sprzyjające rozwojowi kraju, wzrostowi gospodarczemu i konkurencyjności polskich firm. W skład GGC BCC wchodzą wybitni gospodarczy fachowcy, z których wielu piastowało w przeszłości funkcje publiczne [lista poniżej]. Więcej informacji: </w:t>
      </w:r>
      <w:hyperlink r:id="rId11" w:history="1">
        <w:r w:rsidRPr="00303D9E">
          <w:rPr>
            <w:rStyle w:val="Hipercze"/>
            <w:rFonts w:cs="Calibri"/>
            <w:i/>
            <w:sz w:val="14"/>
            <w:szCs w:val="16"/>
          </w:rPr>
          <w:t>http://www.bcc.org.pl/Gospodarczy-Gabinet-Cieni.4241.0.html</w:t>
        </w:r>
      </w:hyperlink>
    </w:p>
    <w:sectPr w:rsidR="00B549F7" w:rsidRPr="00BF53CF" w:rsidSect="00AF251C">
      <w:footerReference w:type="default" r:id="rId12"/>
      <w:pgSz w:w="11906" w:h="16838"/>
      <w:pgMar w:top="1135" w:right="1417" w:bottom="56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33E" w:rsidRDefault="0066033E">
      <w:pPr>
        <w:spacing w:after="0" w:line="240" w:lineRule="auto"/>
      </w:pPr>
      <w:r>
        <w:separator/>
      </w:r>
    </w:p>
  </w:endnote>
  <w:endnote w:type="continuationSeparator" w:id="0">
    <w:p w:rsidR="0066033E" w:rsidRDefault="0066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A4" w:rsidRPr="009B7B9C" w:rsidRDefault="00CF3FD2" w:rsidP="0079671E">
    <w:pPr>
      <w:pStyle w:val="Stopka"/>
      <w:rPr>
        <w:sz w:val="18"/>
      </w:rPr>
    </w:pPr>
    <w:r>
      <w:rPr>
        <w:sz w:val="16"/>
        <w:szCs w:val="18"/>
      </w:rPr>
      <w:t>Gospodarczy Gabinet Cieni BCC</w:t>
    </w:r>
    <w:r>
      <w:rPr>
        <w:sz w:val="16"/>
        <w:szCs w:val="18"/>
        <w:lang w:val="pl-PL"/>
      </w:rPr>
      <w:t xml:space="preserve"> – </w:t>
    </w:r>
    <w:r>
      <w:rPr>
        <w:sz w:val="16"/>
        <w:szCs w:val="18"/>
      </w:rPr>
      <w:t>X</w:t>
    </w:r>
    <w:r w:rsidR="00E9375A">
      <w:rPr>
        <w:sz w:val="16"/>
        <w:szCs w:val="18"/>
        <w:lang w:val="pl-PL"/>
      </w:rPr>
      <w:t>XXV</w:t>
    </w:r>
    <w:r w:rsidR="00A330F7">
      <w:rPr>
        <w:sz w:val="16"/>
        <w:szCs w:val="18"/>
        <w:lang w:val="pl-PL"/>
      </w:rPr>
      <w:t>I</w:t>
    </w:r>
    <w:r w:rsidR="006B68C5">
      <w:rPr>
        <w:sz w:val="16"/>
        <w:szCs w:val="18"/>
        <w:lang w:val="pl-PL"/>
      </w:rPr>
      <w:t>I</w:t>
    </w:r>
    <w:r w:rsidR="00AB251D">
      <w:rPr>
        <w:sz w:val="16"/>
        <w:szCs w:val="18"/>
      </w:rPr>
      <w:t xml:space="preserve"> </w:t>
    </w:r>
    <w:r w:rsidR="00AB251D">
      <w:rPr>
        <w:sz w:val="16"/>
        <w:szCs w:val="18"/>
        <w:lang w:val="pl-PL"/>
      </w:rPr>
      <w:t xml:space="preserve">Raport kwartalny – </w:t>
    </w:r>
    <w:r w:rsidR="00D4133F">
      <w:rPr>
        <w:sz w:val="16"/>
        <w:szCs w:val="18"/>
        <w:lang w:val="pl-PL"/>
      </w:rPr>
      <w:t>2</w:t>
    </w:r>
    <w:r w:rsidR="00A330F7">
      <w:rPr>
        <w:sz w:val="16"/>
        <w:szCs w:val="18"/>
        <w:lang w:val="pl-PL"/>
      </w:rPr>
      <w:t>3</w:t>
    </w:r>
    <w:r w:rsidRPr="009B7B9C">
      <w:rPr>
        <w:sz w:val="16"/>
        <w:szCs w:val="18"/>
      </w:rPr>
      <w:t>.</w:t>
    </w:r>
    <w:r w:rsidR="006B68C5">
      <w:rPr>
        <w:sz w:val="16"/>
        <w:szCs w:val="18"/>
        <w:lang w:val="pl-PL"/>
      </w:rPr>
      <w:t>0</w:t>
    </w:r>
    <w:r w:rsidR="00A330F7">
      <w:rPr>
        <w:sz w:val="16"/>
        <w:szCs w:val="18"/>
        <w:lang w:val="pl-PL"/>
      </w:rPr>
      <w:t>6</w:t>
    </w:r>
    <w:r w:rsidRPr="009B7B9C">
      <w:rPr>
        <w:sz w:val="16"/>
        <w:szCs w:val="18"/>
      </w:rPr>
      <w:t>.20</w:t>
    </w:r>
    <w:r>
      <w:rPr>
        <w:sz w:val="16"/>
        <w:szCs w:val="18"/>
        <w:lang w:val="pl-PL"/>
      </w:rPr>
      <w:t>2</w:t>
    </w:r>
    <w:r w:rsidR="006B68C5">
      <w:rPr>
        <w:sz w:val="16"/>
        <w:szCs w:val="18"/>
        <w:lang w:val="pl-PL"/>
      </w:rPr>
      <w:t>1</w:t>
    </w:r>
    <w:r w:rsidRPr="009B7B9C">
      <w:rPr>
        <w:sz w:val="16"/>
        <w:szCs w:val="18"/>
      </w:rPr>
      <w:t xml:space="preserve"> r.</w:t>
    </w:r>
    <w:r>
      <w:rPr>
        <w:sz w:val="16"/>
        <w:szCs w:val="18"/>
      </w:rPr>
      <w:tab/>
    </w:r>
    <w:r w:rsidRPr="009B7B9C">
      <w:rPr>
        <w:sz w:val="18"/>
      </w:rPr>
      <w:t xml:space="preserve"> </w:t>
    </w:r>
    <w:r>
      <w:rPr>
        <w:sz w:val="18"/>
      </w:rPr>
      <w:tab/>
    </w:r>
    <w:r w:rsidRPr="009B7B9C">
      <w:rPr>
        <w:sz w:val="18"/>
      </w:rPr>
      <w:fldChar w:fldCharType="begin"/>
    </w:r>
    <w:r w:rsidRPr="009B7B9C">
      <w:rPr>
        <w:sz w:val="18"/>
      </w:rPr>
      <w:instrText xml:space="preserve"> PAGE   \* MERGEFORMAT </w:instrText>
    </w:r>
    <w:r w:rsidRPr="009B7B9C">
      <w:rPr>
        <w:sz w:val="18"/>
      </w:rPr>
      <w:fldChar w:fldCharType="separate"/>
    </w:r>
    <w:r w:rsidR="00D4133F">
      <w:rPr>
        <w:noProof/>
        <w:sz w:val="18"/>
      </w:rPr>
      <w:t>1</w:t>
    </w:r>
    <w:r w:rsidRPr="009B7B9C">
      <w:rPr>
        <w:sz w:val="18"/>
      </w:rPr>
      <w:fldChar w:fldCharType="end"/>
    </w:r>
  </w:p>
  <w:p w:rsidR="00B453A4" w:rsidRDefault="006603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33E" w:rsidRDefault="0066033E">
      <w:pPr>
        <w:spacing w:after="0" w:line="240" w:lineRule="auto"/>
      </w:pPr>
      <w:r>
        <w:separator/>
      </w:r>
    </w:p>
  </w:footnote>
  <w:footnote w:type="continuationSeparator" w:id="0">
    <w:p w:rsidR="0066033E" w:rsidRDefault="00660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3C1C"/>
    <w:multiLevelType w:val="hybridMultilevel"/>
    <w:tmpl w:val="70C82732"/>
    <w:lvl w:ilvl="0" w:tplc="1A2C65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1490A"/>
    <w:multiLevelType w:val="hybridMultilevel"/>
    <w:tmpl w:val="199A96B6"/>
    <w:lvl w:ilvl="0" w:tplc="3DDC7D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A299D"/>
    <w:multiLevelType w:val="hybridMultilevel"/>
    <w:tmpl w:val="55144D5E"/>
    <w:lvl w:ilvl="0" w:tplc="62BA13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F6F07"/>
    <w:multiLevelType w:val="hybridMultilevel"/>
    <w:tmpl w:val="A0CE9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940C9"/>
    <w:multiLevelType w:val="hybridMultilevel"/>
    <w:tmpl w:val="A0601F4E"/>
    <w:lvl w:ilvl="0" w:tplc="6C50C722">
      <w:start w:val="1"/>
      <w:numFmt w:val="decimal"/>
      <w:lvlText w:val="%1."/>
      <w:lvlJc w:val="left"/>
      <w:pPr>
        <w:ind w:left="232" w:hanging="232"/>
      </w:pPr>
      <w:rPr>
        <w:rFonts w:hAnsi="Arial Unicode MS"/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00A508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365C9E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F06F20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86A538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2072C8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584F40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5825DC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A44E44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7E832A9"/>
    <w:multiLevelType w:val="hybridMultilevel"/>
    <w:tmpl w:val="3FFCF7A2"/>
    <w:lvl w:ilvl="0" w:tplc="923A20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45B10"/>
    <w:multiLevelType w:val="hybridMultilevel"/>
    <w:tmpl w:val="853CB0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37516"/>
    <w:multiLevelType w:val="hybridMultilevel"/>
    <w:tmpl w:val="4D8C4666"/>
    <w:lvl w:ilvl="0" w:tplc="CA98E8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52D94"/>
    <w:multiLevelType w:val="hybridMultilevel"/>
    <w:tmpl w:val="A6BAA22E"/>
    <w:lvl w:ilvl="0" w:tplc="584274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4A246F"/>
    <w:multiLevelType w:val="hybridMultilevel"/>
    <w:tmpl w:val="F65E1ACE"/>
    <w:lvl w:ilvl="0" w:tplc="CA98E8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20FDD"/>
    <w:multiLevelType w:val="hybridMultilevel"/>
    <w:tmpl w:val="3FFCF7A2"/>
    <w:lvl w:ilvl="0" w:tplc="923A20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3903EF"/>
    <w:multiLevelType w:val="hybridMultilevel"/>
    <w:tmpl w:val="1FF6954E"/>
    <w:lvl w:ilvl="0" w:tplc="574455D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1C48F8"/>
    <w:multiLevelType w:val="hybridMultilevel"/>
    <w:tmpl w:val="B252867C"/>
    <w:lvl w:ilvl="0" w:tplc="CA98E8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C2BED"/>
    <w:multiLevelType w:val="hybridMultilevel"/>
    <w:tmpl w:val="CD30593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C3714"/>
    <w:multiLevelType w:val="hybridMultilevel"/>
    <w:tmpl w:val="2CDAF9CA"/>
    <w:lvl w:ilvl="0" w:tplc="574455D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31272E"/>
    <w:multiLevelType w:val="hybridMultilevel"/>
    <w:tmpl w:val="234470DC"/>
    <w:lvl w:ilvl="0" w:tplc="14BCB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3E6571"/>
    <w:multiLevelType w:val="hybridMultilevel"/>
    <w:tmpl w:val="63F2C2A8"/>
    <w:lvl w:ilvl="0" w:tplc="D78A6A52">
      <w:start w:val="1"/>
      <w:numFmt w:val="decimal"/>
      <w:lvlText w:val="%1."/>
      <w:lvlJc w:val="left"/>
      <w:pPr>
        <w:ind w:left="630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>
    <w:nsid w:val="61955DFF"/>
    <w:multiLevelType w:val="hybridMultilevel"/>
    <w:tmpl w:val="A6BAA22E"/>
    <w:lvl w:ilvl="0" w:tplc="584274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869D1"/>
    <w:multiLevelType w:val="hybridMultilevel"/>
    <w:tmpl w:val="93908EAA"/>
    <w:lvl w:ilvl="0" w:tplc="936AE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0A7F21"/>
    <w:multiLevelType w:val="hybridMultilevel"/>
    <w:tmpl w:val="C5A87774"/>
    <w:lvl w:ilvl="0" w:tplc="574455D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01066F"/>
    <w:multiLevelType w:val="hybridMultilevel"/>
    <w:tmpl w:val="0F0EF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F23BAB"/>
    <w:multiLevelType w:val="hybridMultilevel"/>
    <w:tmpl w:val="091A8D3C"/>
    <w:lvl w:ilvl="0" w:tplc="981C0F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8"/>
  </w:num>
  <w:num w:numId="4">
    <w:abstractNumId w:val="14"/>
  </w:num>
  <w:num w:numId="5">
    <w:abstractNumId w:val="19"/>
  </w:num>
  <w:num w:numId="6">
    <w:abstractNumId w:val="11"/>
  </w:num>
  <w:num w:numId="7">
    <w:abstractNumId w:val="12"/>
  </w:num>
  <w:num w:numId="8">
    <w:abstractNumId w:val="7"/>
  </w:num>
  <w:num w:numId="9">
    <w:abstractNumId w:val="9"/>
  </w:num>
  <w:num w:numId="10">
    <w:abstractNumId w:val="20"/>
  </w:num>
  <w:num w:numId="11">
    <w:abstractNumId w:val="16"/>
  </w:num>
  <w:num w:numId="12">
    <w:abstractNumId w:val="0"/>
  </w:num>
  <w:num w:numId="13">
    <w:abstractNumId w:val="4"/>
  </w:num>
  <w:num w:numId="14">
    <w:abstractNumId w:val="1"/>
  </w:num>
  <w:num w:numId="15">
    <w:abstractNumId w:val="10"/>
  </w:num>
  <w:num w:numId="16">
    <w:abstractNumId w:val="5"/>
  </w:num>
  <w:num w:numId="17">
    <w:abstractNumId w:val="3"/>
  </w:num>
  <w:num w:numId="18">
    <w:abstractNumId w:val="8"/>
  </w:num>
  <w:num w:numId="19">
    <w:abstractNumId w:val="17"/>
  </w:num>
  <w:num w:numId="20">
    <w:abstractNumId w:val="21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CF"/>
    <w:rsid w:val="00142CE6"/>
    <w:rsid w:val="001F7418"/>
    <w:rsid w:val="0022471A"/>
    <w:rsid w:val="002936AB"/>
    <w:rsid w:val="00296423"/>
    <w:rsid w:val="002A4D0C"/>
    <w:rsid w:val="00310EA0"/>
    <w:rsid w:val="003A1C95"/>
    <w:rsid w:val="003B1711"/>
    <w:rsid w:val="003D1AA7"/>
    <w:rsid w:val="00407F7E"/>
    <w:rsid w:val="00416AEA"/>
    <w:rsid w:val="00434656"/>
    <w:rsid w:val="00475788"/>
    <w:rsid w:val="005351EE"/>
    <w:rsid w:val="00595B91"/>
    <w:rsid w:val="005B63D9"/>
    <w:rsid w:val="005E2DDF"/>
    <w:rsid w:val="00604702"/>
    <w:rsid w:val="0061030E"/>
    <w:rsid w:val="00617F93"/>
    <w:rsid w:val="00620191"/>
    <w:rsid w:val="0066033E"/>
    <w:rsid w:val="00683E06"/>
    <w:rsid w:val="00697790"/>
    <w:rsid w:val="00697E45"/>
    <w:rsid w:val="006B68C5"/>
    <w:rsid w:val="006C341C"/>
    <w:rsid w:val="00713D82"/>
    <w:rsid w:val="007437B9"/>
    <w:rsid w:val="00783AD4"/>
    <w:rsid w:val="007C5FE9"/>
    <w:rsid w:val="007F6EF2"/>
    <w:rsid w:val="00840781"/>
    <w:rsid w:val="00897B49"/>
    <w:rsid w:val="008E4B9F"/>
    <w:rsid w:val="008F7623"/>
    <w:rsid w:val="008F7658"/>
    <w:rsid w:val="00907462"/>
    <w:rsid w:val="00933E59"/>
    <w:rsid w:val="00965CB9"/>
    <w:rsid w:val="00994D0B"/>
    <w:rsid w:val="009A7073"/>
    <w:rsid w:val="00A02099"/>
    <w:rsid w:val="00A135B3"/>
    <w:rsid w:val="00A330F7"/>
    <w:rsid w:val="00A738D4"/>
    <w:rsid w:val="00AB02C6"/>
    <w:rsid w:val="00AB251D"/>
    <w:rsid w:val="00AF7FAA"/>
    <w:rsid w:val="00B23673"/>
    <w:rsid w:val="00B42F62"/>
    <w:rsid w:val="00B549F7"/>
    <w:rsid w:val="00B86E96"/>
    <w:rsid w:val="00B954C8"/>
    <w:rsid w:val="00BA4357"/>
    <w:rsid w:val="00BF53CF"/>
    <w:rsid w:val="00BF56AE"/>
    <w:rsid w:val="00C31928"/>
    <w:rsid w:val="00C329D7"/>
    <w:rsid w:val="00C42B4D"/>
    <w:rsid w:val="00CE408F"/>
    <w:rsid w:val="00CF3FD2"/>
    <w:rsid w:val="00D35E00"/>
    <w:rsid w:val="00D4133F"/>
    <w:rsid w:val="00D50249"/>
    <w:rsid w:val="00D93022"/>
    <w:rsid w:val="00E56406"/>
    <w:rsid w:val="00E9375A"/>
    <w:rsid w:val="00E967BE"/>
    <w:rsid w:val="00F66F1C"/>
    <w:rsid w:val="00F8288C"/>
    <w:rsid w:val="00F95371"/>
    <w:rsid w:val="00FD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3C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BF53C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F53C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F53CF"/>
    <w:rPr>
      <w:rFonts w:ascii="Calibri" w:eastAsia="Calibri" w:hAnsi="Calibri" w:cs="Times New Roman"/>
      <w:lang w:val="x-none"/>
    </w:rPr>
  </w:style>
  <w:style w:type="paragraph" w:styleId="Akapitzlist">
    <w:name w:val="List Paragraph"/>
    <w:basedOn w:val="Normalny"/>
    <w:link w:val="AkapitzlistZnak"/>
    <w:uiPriority w:val="34"/>
    <w:qFormat/>
    <w:rsid w:val="00BF53CF"/>
    <w:pPr>
      <w:ind w:left="708"/>
    </w:pPr>
    <w:rPr>
      <w:lang w:val="x-none"/>
    </w:rPr>
  </w:style>
  <w:style w:type="paragraph" w:styleId="Tekstpodstawowy2">
    <w:name w:val="Body Text 2"/>
    <w:basedOn w:val="Normalny"/>
    <w:link w:val="Tekstpodstawowy2Znak"/>
    <w:semiHidden/>
    <w:rsid w:val="00BF53CF"/>
    <w:pPr>
      <w:spacing w:after="0" w:line="240" w:lineRule="auto"/>
      <w:ind w:firstLine="708"/>
      <w:jc w:val="both"/>
    </w:pPr>
    <w:rPr>
      <w:rFonts w:ascii="Arial" w:eastAsia="Times New Roman" w:hAnsi="Arial"/>
      <w:b/>
      <w:bCs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F53C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BF53CF"/>
    <w:rPr>
      <w:rFonts w:ascii="Calibri" w:eastAsia="Calibri" w:hAnsi="Calibri" w:cs="Times New Roman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3CF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2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51D"/>
    <w:rPr>
      <w:rFonts w:ascii="Calibri" w:eastAsia="Calibri" w:hAnsi="Calibri" w:cs="Times New Roman"/>
    </w:rPr>
  </w:style>
  <w:style w:type="paragraph" w:customStyle="1" w:styleId="Domylne">
    <w:name w:val="Domyślne"/>
    <w:rsid w:val="00A738D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3C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BF53C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F53C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F53CF"/>
    <w:rPr>
      <w:rFonts w:ascii="Calibri" w:eastAsia="Calibri" w:hAnsi="Calibri" w:cs="Times New Roman"/>
      <w:lang w:val="x-none"/>
    </w:rPr>
  </w:style>
  <w:style w:type="paragraph" w:styleId="Akapitzlist">
    <w:name w:val="List Paragraph"/>
    <w:basedOn w:val="Normalny"/>
    <w:link w:val="AkapitzlistZnak"/>
    <w:uiPriority w:val="34"/>
    <w:qFormat/>
    <w:rsid w:val="00BF53CF"/>
    <w:pPr>
      <w:ind w:left="708"/>
    </w:pPr>
    <w:rPr>
      <w:lang w:val="x-none"/>
    </w:rPr>
  </w:style>
  <w:style w:type="paragraph" w:styleId="Tekstpodstawowy2">
    <w:name w:val="Body Text 2"/>
    <w:basedOn w:val="Normalny"/>
    <w:link w:val="Tekstpodstawowy2Znak"/>
    <w:semiHidden/>
    <w:rsid w:val="00BF53CF"/>
    <w:pPr>
      <w:spacing w:after="0" w:line="240" w:lineRule="auto"/>
      <w:ind w:firstLine="708"/>
      <w:jc w:val="both"/>
    </w:pPr>
    <w:rPr>
      <w:rFonts w:ascii="Arial" w:eastAsia="Times New Roman" w:hAnsi="Arial"/>
      <w:b/>
      <w:bCs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F53C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BF53CF"/>
    <w:rPr>
      <w:rFonts w:ascii="Calibri" w:eastAsia="Calibri" w:hAnsi="Calibri" w:cs="Times New Roman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3CF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2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51D"/>
    <w:rPr>
      <w:rFonts w:ascii="Calibri" w:eastAsia="Calibri" w:hAnsi="Calibri" w:cs="Times New Roman"/>
    </w:rPr>
  </w:style>
  <w:style w:type="paragraph" w:customStyle="1" w:styleId="Domylne">
    <w:name w:val="Domyślne"/>
    <w:rsid w:val="00A738D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cc.org.pl/Gospodarczy-Gabinet-Cieni.4241.0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mil.mucinski@bcc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717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Muciński</dc:creator>
  <cp:lastModifiedBy>Muciński Emil</cp:lastModifiedBy>
  <cp:revision>28</cp:revision>
  <cp:lastPrinted>2021-06-30T08:56:00Z</cp:lastPrinted>
  <dcterms:created xsi:type="dcterms:W3CDTF">2020-06-23T06:48:00Z</dcterms:created>
  <dcterms:modified xsi:type="dcterms:W3CDTF">2021-06-30T08:56:00Z</dcterms:modified>
</cp:coreProperties>
</file>