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A87" w:rsidRPr="00342A87" w:rsidRDefault="00342A87" w:rsidP="00342A87">
      <w:pPr>
        <w:spacing w:after="0" w:line="240" w:lineRule="auto"/>
        <w:jc w:val="center"/>
        <w:rPr>
          <w:rFonts w:ascii="Calibri" w:eastAsia="Calibri" w:hAnsi="Calibri" w:cs="Times New Roman"/>
          <w:sz w:val="2"/>
          <w:szCs w:val="2"/>
        </w:rPr>
      </w:pPr>
      <w:r w:rsidRPr="00342A87">
        <w:rPr>
          <w:rFonts w:ascii="Calibri" w:eastAsia="Calibri" w:hAnsi="Calibri" w:cs="Times New Roman"/>
          <w:noProof/>
          <w:sz w:val="2"/>
          <w:szCs w:val="2"/>
          <w:lang w:eastAsia="pl-PL"/>
        </w:rPr>
        <w:drawing>
          <wp:inline distT="0" distB="0" distL="0" distR="0" wp14:anchorId="339A9F9B" wp14:editId="4DE9CB62">
            <wp:extent cx="2238375" cy="1857375"/>
            <wp:effectExtent l="0" t="0" r="9525" b="0"/>
            <wp:docPr id="1" name="Obraz 1" descr="0c428292-28c0-4f74-b347-08cf9b51f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c428292-28c0-4f74-b347-08cf9b51f9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1857375"/>
                    </a:xfrm>
                    <a:prstGeom prst="rect">
                      <a:avLst/>
                    </a:prstGeom>
                    <a:noFill/>
                    <a:ln>
                      <a:noFill/>
                    </a:ln>
                  </pic:spPr>
                </pic:pic>
              </a:graphicData>
            </a:graphic>
          </wp:inline>
        </w:drawing>
      </w:r>
    </w:p>
    <w:p w:rsidR="00342A87" w:rsidRPr="00342A87" w:rsidRDefault="00342A87" w:rsidP="00342A87">
      <w:pPr>
        <w:spacing w:after="0" w:line="240" w:lineRule="auto"/>
        <w:jc w:val="center"/>
        <w:rPr>
          <w:rFonts w:ascii="Calibri" w:eastAsia="Calibri" w:hAnsi="Calibri" w:cs="Times New Roman"/>
          <w:b/>
          <w:bCs/>
          <w:sz w:val="10"/>
        </w:rPr>
      </w:pPr>
    </w:p>
    <w:p w:rsidR="00342A87" w:rsidRPr="00342A87" w:rsidRDefault="00342A87" w:rsidP="00342A87">
      <w:pPr>
        <w:tabs>
          <w:tab w:val="left" w:pos="0"/>
          <w:tab w:val="left" w:pos="8647"/>
          <w:tab w:val="left" w:pos="9072"/>
        </w:tabs>
        <w:spacing w:after="120" w:line="360" w:lineRule="auto"/>
        <w:jc w:val="right"/>
        <w:rPr>
          <w:rFonts w:ascii="Arial" w:eastAsia="Times New Roman" w:hAnsi="Arial" w:cs="Times New Roman"/>
          <w:sz w:val="18"/>
          <w:szCs w:val="20"/>
          <w:lang w:val="x-none" w:eastAsia="x-none"/>
        </w:rPr>
      </w:pPr>
      <w:r w:rsidRPr="00342A87">
        <w:rPr>
          <w:rFonts w:ascii="Arial" w:eastAsia="Times New Roman" w:hAnsi="Arial" w:cs="Times New Roman"/>
          <w:sz w:val="18"/>
          <w:szCs w:val="20"/>
          <w:lang w:val="x-none" w:eastAsia="x-none"/>
        </w:rPr>
        <w:t xml:space="preserve">Warszawa, </w:t>
      </w:r>
      <w:r w:rsidR="00476933">
        <w:rPr>
          <w:rFonts w:ascii="Arial" w:eastAsia="Times New Roman" w:hAnsi="Arial" w:cs="Times New Roman"/>
          <w:sz w:val="18"/>
          <w:szCs w:val="20"/>
          <w:lang w:eastAsia="x-none"/>
        </w:rPr>
        <w:t>6</w:t>
      </w:r>
      <w:r w:rsidR="00772113">
        <w:rPr>
          <w:rFonts w:ascii="Arial" w:eastAsia="Times New Roman" w:hAnsi="Arial" w:cs="Times New Roman"/>
          <w:sz w:val="18"/>
          <w:szCs w:val="20"/>
          <w:lang w:eastAsia="x-none"/>
        </w:rPr>
        <w:t xml:space="preserve"> lipca</w:t>
      </w:r>
      <w:r w:rsidRPr="00342A87">
        <w:rPr>
          <w:rFonts w:ascii="Arial" w:eastAsia="Times New Roman" w:hAnsi="Arial" w:cs="Times New Roman"/>
          <w:sz w:val="18"/>
          <w:szCs w:val="20"/>
          <w:lang w:eastAsia="x-none"/>
        </w:rPr>
        <w:t xml:space="preserve"> 2</w:t>
      </w:r>
      <w:r w:rsidRPr="00342A87">
        <w:rPr>
          <w:rFonts w:ascii="Arial" w:eastAsia="Times New Roman" w:hAnsi="Arial" w:cs="Times New Roman"/>
          <w:sz w:val="18"/>
          <w:szCs w:val="20"/>
          <w:lang w:val="x-none" w:eastAsia="x-none"/>
        </w:rPr>
        <w:t>0</w:t>
      </w:r>
      <w:r w:rsidRPr="00342A87">
        <w:rPr>
          <w:rFonts w:ascii="Arial" w:eastAsia="Times New Roman" w:hAnsi="Arial" w:cs="Times New Roman"/>
          <w:sz w:val="18"/>
          <w:szCs w:val="20"/>
          <w:lang w:eastAsia="x-none"/>
        </w:rPr>
        <w:t>2</w:t>
      </w:r>
      <w:r w:rsidR="000809F8">
        <w:rPr>
          <w:rFonts w:ascii="Arial" w:eastAsia="Times New Roman" w:hAnsi="Arial" w:cs="Times New Roman"/>
          <w:sz w:val="18"/>
          <w:szCs w:val="20"/>
          <w:lang w:eastAsia="x-none"/>
        </w:rPr>
        <w:t>1</w:t>
      </w:r>
      <w:r w:rsidRPr="00342A87">
        <w:rPr>
          <w:rFonts w:ascii="Arial" w:eastAsia="Times New Roman" w:hAnsi="Arial" w:cs="Times New Roman"/>
          <w:sz w:val="18"/>
          <w:szCs w:val="20"/>
          <w:lang w:val="x-none" w:eastAsia="x-none"/>
        </w:rPr>
        <w:t xml:space="preserve"> r.</w:t>
      </w:r>
    </w:p>
    <w:p w:rsidR="00342A87" w:rsidRPr="008670C0" w:rsidRDefault="00342A87" w:rsidP="00342A87">
      <w:pPr>
        <w:pBdr>
          <w:top w:val="single" w:sz="4" w:space="1" w:color="auto"/>
          <w:left w:val="single" w:sz="4" w:space="4" w:color="auto"/>
          <w:bottom w:val="single" w:sz="4" w:space="5" w:color="auto"/>
          <w:right w:val="single" w:sz="4" w:space="4" w:color="auto"/>
        </w:pBdr>
        <w:tabs>
          <w:tab w:val="left" w:pos="0"/>
          <w:tab w:val="left" w:pos="8647"/>
          <w:tab w:val="left" w:pos="9072"/>
        </w:tabs>
        <w:spacing w:after="0" w:line="240" w:lineRule="auto"/>
        <w:jc w:val="center"/>
        <w:outlineLvl w:val="0"/>
        <w:rPr>
          <w:rFonts w:ascii="Times New Roman" w:eastAsia="Times New Roman" w:hAnsi="Times New Roman" w:cs="Times New Roman"/>
          <w:b/>
          <w:bCs/>
          <w:smallCaps/>
          <w:color w:val="003366"/>
          <w:sz w:val="44"/>
          <w:szCs w:val="48"/>
          <w:lang w:val="x-none" w:eastAsia="x-none"/>
        </w:rPr>
      </w:pPr>
      <w:r w:rsidRPr="008670C0">
        <w:rPr>
          <w:rFonts w:ascii="Times New Roman" w:eastAsia="Times New Roman" w:hAnsi="Times New Roman" w:cs="Times New Roman"/>
          <w:b/>
          <w:bCs/>
          <w:smallCaps/>
          <w:color w:val="003366"/>
          <w:sz w:val="44"/>
          <w:szCs w:val="48"/>
          <w:lang w:eastAsia="x-none"/>
        </w:rPr>
        <w:t xml:space="preserve">RAPORT: </w:t>
      </w:r>
      <w:r w:rsidR="00D14852">
        <w:rPr>
          <w:rFonts w:ascii="Times New Roman" w:eastAsia="Times New Roman" w:hAnsi="Times New Roman" w:cs="Times New Roman"/>
          <w:b/>
          <w:bCs/>
          <w:smallCaps/>
          <w:color w:val="003366"/>
          <w:sz w:val="44"/>
          <w:szCs w:val="48"/>
          <w:lang w:eastAsia="x-none"/>
        </w:rPr>
        <w:t>Pr</w:t>
      </w:r>
      <w:r w:rsidR="00476933">
        <w:rPr>
          <w:rFonts w:ascii="Times New Roman" w:eastAsia="Times New Roman" w:hAnsi="Times New Roman" w:cs="Times New Roman"/>
          <w:b/>
          <w:bCs/>
          <w:smallCaps/>
          <w:color w:val="003366"/>
          <w:sz w:val="44"/>
          <w:szCs w:val="48"/>
          <w:lang w:eastAsia="x-none"/>
        </w:rPr>
        <w:t>awo Gospodarcze</w:t>
      </w:r>
    </w:p>
    <w:p w:rsidR="00476933" w:rsidRDefault="00476933" w:rsidP="00476933">
      <w:pPr>
        <w:spacing w:after="0" w:line="240" w:lineRule="auto"/>
        <w:jc w:val="both"/>
        <w:rPr>
          <w:rFonts w:ascii="Calibri" w:eastAsia="Calibri" w:hAnsi="Calibri" w:cs="Times New Roman"/>
          <w:b/>
          <w:sz w:val="28"/>
          <w:szCs w:val="28"/>
        </w:rPr>
      </w:pPr>
    </w:p>
    <w:p w:rsidR="00476933" w:rsidRDefault="00476933" w:rsidP="00476933">
      <w:pPr>
        <w:spacing w:after="0" w:line="240" w:lineRule="auto"/>
        <w:jc w:val="both"/>
        <w:rPr>
          <w:b/>
          <w:sz w:val="16"/>
          <w:szCs w:val="16"/>
        </w:rPr>
      </w:pPr>
    </w:p>
    <w:p w:rsidR="00476933" w:rsidRDefault="00476933" w:rsidP="00476933">
      <w:pPr>
        <w:spacing w:after="0" w:line="240" w:lineRule="auto"/>
        <w:jc w:val="both"/>
        <w:rPr>
          <w:b/>
          <w:sz w:val="16"/>
          <w:szCs w:val="16"/>
        </w:rPr>
      </w:pPr>
    </w:p>
    <w:p w:rsidR="00476933" w:rsidRPr="00DA29F4" w:rsidRDefault="00476933" w:rsidP="00476933">
      <w:pPr>
        <w:spacing w:after="0" w:line="240" w:lineRule="auto"/>
        <w:jc w:val="both"/>
        <w:rPr>
          <w:b/>
          <w:sz w:val="16"/>
          <w:szCs w:val="16"/>
        </w:rPr>
      </w:pPr>
    </w:p>
    <w:tbl>
      <w:tblPr>
        <w:tblW w:w="0" w:type="auto"/>
        <w:tblInd w:w="108" w:type="dxa"/>
        <w:tblLayout w:type="fixed"/>
        <w:tblLook w:val="01E0" w:firstRow="1" w:lastRow="1" w:firstColumn="1" w:lastColumn="1" w:noHBand="0" w:noVBand="0"/>
      </w:tblPr>
      <w:tblGrid>
        <w:gridCol w:w="900"/>
        <w:gridCol w:w="8172"/>
      </w:tblGrid>
      <w:tr w:rsidR="00476933" w:rsidRPr="00F21FC5" w:rsidTr="00976E2D">
        <w:tc>
          <w:tcPr>
            <w:tcW w:w="900" w:type="dxa"/>
          </w:tcPr>
          <w:p w:rsidR="00476933" w:rsidRPr="00F21FC5" w:rsidRDefault="00476933" w:rsidP="00976E2D">
            <w:pPr>
              <w:spacing w:after="0" w:line="240" w:lineRule="auto"/>
              <w:jc w:val="right"/>
              <w:rPr>
                <w:rFonts w:ascii="Bookman Old Style" w:hAnsi="Bookman Old Style"/>
                <w:sz w:val="14"/>
                <w:szCs w:val="14"/>
              </w:rPr>
            </w:pPr>
            <w:bookmarkStart w:id="0" w:name="_GoBack"/>
            <w:r>
              <w:rPr>
                <w:noProof/>
                <w:lang w:eastAsia="pl-PL"/>
              </w:rPr>
              <w:drawing>
                <wp:inline distT="0" distB="0" distL="0" distR="0" wp14:anchorId="0CF030D0" wp14:editId="758D63CA">
                  <wp:extent cx="612140" cy="779145"/>
                  <wp:effectExtent l="0" t="0" r="0" b="1905"/>
                  <wp:docPr id="5" name="Obraz 5" descr="D:\Dokumenty\BCC\LUDZIE BCC\Kalisz Ryszard\Kalisz Rysz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D:\Dokumenty\BCC\LUDZIE BCC\Kalisz Ryszard\Kalisz Ryszar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140" cy="779145"/>
                          </a:xfrm>
                          <a:prstGeom prst="rect">
                            <a:avLst/>
                          </a:prstGeom>
                          <a:noFill/>
                          <a:ln>
                            <a:noFill/>
                          </a:ln>
                        </pic:spPr>
                      </pic:pic>
                    </a:graphicData>
                  </a:graphic>
                </wp:inline>
              </w:drawing>
            </w:r>
          </w:p>
        </w:tc>
        <w:tc>
          <w:tcPr>
            <w:tcW w:w="8172" w:type="dxa"/>
          </w:tcPr>
          <w:p w:rsidR="00476933" w:rsidRPr="00F21FC5" w:rsidRDefault="00476933" w:rsidP="00976E2D">
            <w:pPr>
              <w:spacing w:after="0" w:line="240" w:lineRule="auto"/>
              <w:jc w:val="both"/>
              <w:rPr>
                <w:rFonts w:ascii="Bookman Old Style" w:hAnsi="Bookman Old Style"/>
                <w:b/>
                <w:caps/>
                <w:sz w:val="16"/>
                <w:szCs w:val="16"/>
              </w:rPr>
            </w:pPr>
            <w:r>
              <w:rPr>
                <w:rFonts w:ascii="Bookman Old Style" w:hAnsi="Bookman Old Style"/>
                <w:b/>
                <w:caps/>
                <w:sz w:val="16"/>
                <w:szCs w:val="16"/>
              </w:rPr>
              <w:t>Ryszard Kalisz</w:t>
            </w:r>
          </w:p>
          <w:p w:rsidR="00476933" w:rsidRPr="00F21FC5" w:rsidRDefault="00476933" w:rsidP="00976E2D">
            <w:pPr>
              <w:spacing w:after="0" w:line="240" w:lineRule="auto"/>
              <w:jc w:val="both"/>
              <w:rPr>
                <w:rFonts w:ascii="Bookman Old Style" w:hAnsi="Bookman Old Style"/>
                <w:b/>
                <w:sz w:val="16"/>
                <w:szCs w:val="16"/>
              </w:rPr>
            </w:pPr>
            <w:r w:rsidRPr="00F21FC5">
              <w:rPr>
                <w:rFonts w:ascii="Bookman Old Style" w:hAnsi="Bookman Old Style"/>
                <w:b/>
                <w:sz w:val="16"/>
                <w:szCs w:val="16"/>
              </w:rPr>
              <w:t xml:space="preserve">minister ds. </w:t>
            </w:r>
            <w:r>
              <w:rPr>
                <w:rFonts w:ascii="Bookman Old Style" w:hAnsi="Bookman Old Style"/>
                <w:b/>
                <w:sz w:val="16"/>
                <w:szCs w:val="16"/>
              </w:rPr>
              <w:t xml:space="preserve">prawa gospodarczego w </w:t>
            </w:r>
            <w:r w:rsidRPr="00F21FC5">
              <w:rPr>
                <w:rFonts w:ascii="Bookman Old Style" w:hAnsi="Bookman Old Style"/>
                <w:b/>
                <w:sz w:val="16"/>
                <w:szCs w:val="16"/>
              </w:rPr>
              <w:t>Gospodarcz</w:t>
            </w:r>
            <w:r>
              <w:rPr>
                <w:rFonts w:ascii="Bookman Old Style" w:hAnsi="Bookman Old Style"/>
                <w:b/>
                <w:sz w:val="16"/>
                <w:szCs w:val="16"/>
              </w:rPr>
              <w:t xml:space="preserve">ym Gabinecie </w:t>
            </w:r>
            <w:r w:rsidRPr="00F21FC5">
              <w:rPr>
                <w:rFonts w:ascii="Bookman Old Style" w:hAnsi="Bookman Old Style"/>
                <w:b/>
                <w:sz w:val="16"/>
                <w:szCs w:val="16"/>
              </w:rPr>
              <w:t>Cieni BCC</w:t>
            </w:r>
          </w:p>
          <w:p w:rsidR="00476933" w:rsidRDefault="00476933" w:rsidP="00976E2D">
            <w:pPr>
              <w:spacing w:after="0" w:line="240" w:lineRule="auto"/>
              <w:jc w:val="both"/>
              <w:rPr>
                <w:rFonts w:ascii="Bookman Old Style" w:hAnsi="Bookman Old Style"/>
                <w:i/>
                <w:sz w:val="14"/>
                <w:szCs w:val="14"/>
              </w:rPr>
            </w:pPr>
            <w:r w:rsidRPr="00FE7195">
              <w:rPr>
                <w:rFonts w:ascii="Bookman Old Style" w:hAnsi="Bookman Old Style"/>
                <w:i/>
                <w:sz w:val="14"/>
                <w:szCs w:val="14"/>
              </w:rPr>
              <w:t>W latach 1987 – 2007 wykonywał zawód adwokata. Ekspert w obradach „ Okrągłego Stołu” (1989), zastępca Przewodniczącego Trybunału Stanu (1993-1995), współtwórca przepisów Konstytucji RP z 2 kwietnia 1997</w:t>
            </w:r>
            <w:r>
              <w:rPr>
                <w:rFonts w:ascii="Bookman Old Style" w:hAnsi="Bookman Old Style"/>
                <w:i/>
                <w:sz w:val="14"/>
                <w:szCs w:val="14"/>
              </w:rPr>
              <w:t xml:space="preserve"> r.</w:t>
            </w:r>
            <w:r w:rsidRPr="00FE7195">
              <w:rPr>
                <w:rFonts w:ascii="Bookman Old Style" w:hAnsi="Bookman Old Style"/>
                <w:i/>
                <w:sz w:val="14"/>
                <w:szCs w:val="14"/>
              </w:rPr>
              <w:t>, Sekretarz Stanu w Kancelarii Prezydenta RP (1997-2000</w:t>
            </w:r>
            <w:r>
              <w:rPr>
                <w:rFonts w:ascii="Bookman Old Style" w:hAnsi="Bookman Old Style"/>
                <w:i/>
                <w:sz w:val="14"/>
                <w:szCs w:val="14"/>
              </w:rPr>
              <w:t>), Szef Kancelarii Prezydenta (</w:t>
            </w:r>
            <w:r w:rsidRPr="00FE7195">
              <w:rPr>
                <w:rFonts w:ascii="Bookman Old Style" w:hAnsi="Bookman Old Style"/>
                <w:i/>
                <w:sz w:val="14"/>
                <w:szCs w:val="14"/>
              </w:rPr>
              <w:t>1998-2000), Członek Rady Bezpieczeństwa Narodowego (2000-2005), Minister Spraw We</w:t>
            </w:r>
            <w:r>
              <w:rPr>
                <w:rFonts w:ascii="Bookman Old Style" w:hAnsi="Bookman Old Style"/>
                <w:i/>
                <w:sz w:val="14"/>
                <w:szCs w:val="14"/>
              </w:rPr>
              <w:t>wnętrznych i Administracji RP (</w:t>
            </w:r>
            <w:r w:rsidRPr="00FE7195">
              <w:rPr>
                <w:rFonts w:ascii="Bookman Old Style" w:hAnsi="Bookman Old Style"/>
                <w:i/>
                <w:sz w:val="14"/>
                <w:szCs w:val="14"/>
              </w:rPr>
              <w:t xml:space="preserve">2004-2005). Poseł </w:t>
            </w:r>
            <w:r>
              <w:rPr>
                <w:rFonts w:ascii="Bookman Old Style" w:hAnsi="Bookman Old Style"/>
                <w:i/>
                <w:sz w:val="14"/>
                <w:szCs w:val="14"/>
              </w:rPr>
              <w:t>na Sejm IV, VI i VII kadencji (</w:t>
            </w:r>
            <w:r w:rsidRPr="00FE7195">
              <w:rPr>
                <w:rFonts w:ascii="Bookman Old Style" w:hAnsi="Bookman Old Style"/>
                <w:i/>
                <w:sz w:val="14"/>
                <w:szCs w:val="14"/>
              </w:rPr>
              <w:t>2001-2015).</w:t>
            </w:r>
          </w:p>
          <w:p w:rsidR="00476933" w:rsidRPr="00F21FC5" w:rsidRDefault="00476933" w:rsidP="00976E2D">
            <w:pPr>
              <w:spacing w:after="0" w:line="240" w:lineRule="auto"/>
              <w:jc w:val="right"/>
              <w:rPr>
                <w:rFonts w:ascii="Bookman Old Style" w:hAnsi="Bookman Old Style"/>
                <w:b/>
                <w:sz w:val="14"/>
                <w:szCs w:val="14"/>
              </w:rPr>
            </w:pPr>
            <w:r w:rsidRPr="00F21FC5">
              <w:rPr>
                <w:rFonts w:ascii="Bookman Old Style" w:hAnsi="Bookman Old Style"/>
                <w:b/>
                <w:sz w:val="14"/>
                <w:szCs w:val="14"/>
              </w:rPr>
              <w:sym w:font="Wingdings 2" w:char="F027"/>
            </w:r>
            <w:r w:rsidRPr="00F21FC5">
              <w:rPr>
                <w:rFonts w:ascii="Bookman Old Style" w:hAnsi="Bookman Old Style"/>
                <w:b/>
                <w:sz w:val="14"/>
                <w:szCs w:val="14"/>
              </w:rPr>
              <w:t xml:space="preserve"> </w:t>
            </w:r>
            <w:r>
              <w:rPr>
                <w:rFonts w:ascii="Bookman Old Style" w:hAnsi="Bookman Old Style"/>
                <w:b/>
                <w:sz w:val="14"/>
                <w:szCs w:val="14"/>
              </w:rPr>
              <w:t>601 884 411</w:t>
            </w:r>
            <w:r w:rsidRPr="00F21FC5">
              <w:rPr>
                <w:rFonts w:ascii="Bookman Old Style" w:hAnsi="Bookman Old Style"/>
                <w:b/>
                <w:sz w:val="14"/>
                <w:szCs w:val="14"/>
              </w:rPr>
              <w:t xml:space="preserve"> </w:t>
            </w:r>
            <w:r w:rsidRPr="00F21FC5">
              <w:rPr>
                <w:rFonts w:ascii="Bookman Old Style" w:hAnsi="Bookman Old Style"/>
                <w:b/>
                <w:sz w:val="14"/>
                <w:szCs w:val="14"/>
              </w:rPr>
              <w:sym w:font="Wingdings" w:char="F02A"/>
            </w:r>
            <w:r w:rsidRPr="00F21FC5">
              <w:rPr>
                <w:rFonts w:ascii="Bookman Old Style" w:hAnsi="Bookman Old Style"/>
                <w:b/>
                <w:sz w:val="14"/>
                <w:szCs w:val="14"/>
              </w:rPr>
              <w:t xml:space="preserve"> </w:t>
            </w:r>
            <w:r w:rsidRPr="00EE19FF">
              <w:rPr>
                <w:rFonts w:ascii="Bookman Old Style" w:hAnsi="Bookman Old Style"/>
                <w:b/>
                <w:sz w:val="14"/>
                <w:szCs w:val="14"/>
              </w:rPr>
              <w:t>ryszard.kalisz@bcc.org.pl</w:t>
            </w:r>
          </w:p>
          <w:p w:rsidR="00476933" w:rsidRPr="00F21FC5" w:rsidRDefault="00476933" w:rsidP="00976E2D">
            <w:pPr>
              <w:spacing w:after="0" w:line="240" w:lineRule="auto"/>
              <w:jc w:val="both"/>
              <w:rPr>
                <w:rFonts w:ascii="Bookman Old Style" w:hAnsi="Bookman Old Style"/>
                <w:sz w:val="14"/>
                <w:szCs w:val="14"/>
              </w:rPr>
            </w:pPr>
          </w:p>
          <w:p w:rsidR="00476933" w:rsidRPr="00F21FC5" w:rsidRDefault="00476933" w:rsidP="00976E2D">
            <w:pPr>
              <w:spacing w:after="0" w:line="240" w:lineRule="auto"/>
              <w:jc w:val="both"/>
              <w:rPr>
                <w:rFonts w:ascii="Bookman Old Style" w:hAnsi="Bookman Old Style"/>
                <w:sz w:val="14"/>
                <w:szCs w:val="14"/>
              </w:rPr>
            </w:pPr>
          </w:p>
        </w:tc>
      </w:tr>
    </w:tbl>
    <w:p w:rsidR="00476933" w:rsidRDefault="00476933" w:rsidP="000809F8">
      <w:pPr>
        <w:spacing w:after="0"/>
        <w:rPr>
          <w:rFonts w:ascii="Arial" w:hAnsi="Arial" w:cs="Arial"/>
          <w:b/>
          <w:bCs/>
          <w:sz w:val="20"/>
        </w:rPr>
      </w:pPr>
    </w:p>
    <w:p w:rsidR="000809F8" w:rsidRPr="00697790" w:rsidRDefault="000809F8" w:rsidP="000809F8">
      <w:pPr>
        <w:spacing w:after="0"/>
        <w:rPr>
          <w:rFonts w:ascii="Arial" w:hAnsi="Arial" w:cs="Arial"/>
          <w:sz w:val="14"/>
          <w:szCs w:val="16"/>
        </w:rPr>
      </w:pPr>
      <w:r w:rsidRPr="00697790">
        <w:rPr>
          <w:rFonts w:ascii="Arial" w:hAnsi="Arial" w:cs="Arial"/>
          <w:b/>
          <w:bCs/>
          <w:sz w:val="20"/>
        </w:rPr>
        <w:t>REKOMENDACJE DLA RZĄDU</w:t>
      </w:r>
    </w:p>
    <w:p w:rsidR="000809F8" w:rsidRDefault="000809F8" w:rsidP="000809F8">
      <w:pPr>
        <w:spacing w:after="0"/>
        <w:rPr>
          <w:rFonts w:ascii="Arial" w:hAnsi="Arial" w:cs="Arial"/>
          <w:sz w:val="18"/>
        </w:rPr>
      </w:pPr>
    </w:p>
    <w:p w:rsidR="00476933" w:rsidRPr="00476933" w:rsidRDefault="00476933" w:rsidP="00476933">
      <w:pPr>
        <w:pStyle w:val="Akapitzlist"/>
        <w:numPr>
          <w:ilvl w:val="0"/>
          <w:numId w:val="16"/>
        </w:numPr>
        <w:spacing w:after="0" w:line="360" w:lineRule="auto"/>
        <w:jc w:val="both"/>
        <w:rPr>
          <w:rFonts w:ascii="Arial" w:hAnsi="Arial" w:cs="Arial"/>
          <w:sz w:val="18"/>
        </w:rPr>
      </w:pPr>
      <w:r w:rsidRPr="00476933">
        <w:rPr>
          <w:rFonts w:ascii="Arial" w:hAnsi="Arial" w:cs="Arial"/>
          <w:sz w:val="18"/>
        </w:rPr>
        <w:t xml:space="preserve">Obecna polityka fiskalna rządu, zakładająca wzrost obciążeń podatkowych i </w:t>
      </w:r>
      <w:proofErr w:type="spellStart"/>
      <w:r w:rsidRPr="00476933">
        <w:rPr>
          <w:rFonts w:ascii="Arial" w:hAnsi="Arial" w:cs="Arial"/>
          <w:sz w:val="18"/>
        </w:rPr>
        <w:t>parapodatkowych</w:t>
      </w:r>
      <w:proofErr w:type="spellEnd"/>
      <w:r w:rsidRPr="00476933">
        <w:rPr>
          <w:rFonts w:ascii="Arial" w:hAnsi="Arial" w:cs="Arial"/>
          <w:sz w:val="18"/>
        </w:rPr>
        <w:t xml:space="preserve"> wpływa negatywnie na atrakcyjność inwestycyjną w Polsce. Tego typu utrudnienia w prowadzeniu działalności gospodarczej należy redukować, aby prowadzenie działalności gospodarczej było możliwie jak najłatwiejsze, co prowadziłoby do napływu inwestycji zagranicznych i tym samym do przyrostu kapitału inwestowanego w Polsce, a w efekcie do wzrostu dynamiki rozwoju gospodarczego kraju.</w:t>
      </w:r>
    </w:p>
    <w:p w:rsidR="00476933" w:rsidRPr="00476933" w:rsidRDefault="00476933" w:rsidP="00476933">
      <w:pPr>
        <w:spacing w:after="0" w:line="360" w:lineRule="auto"/>
        <w:jc w:val="both"/>
        <w:rPr>
          <w:rFonts w:ascii="Arial" w:hAnsi="Arial" w:cs="Arial"/>
          <w:sz w:val="18"/>
        </w:rPr>
      </w:pPr>
    </w:p>
    <w:p w:rsidR="00476933" w:rsidRPr="00476933" w:rsidRDefault="00476933" w:rsidP="00476933">
      <w:pPr>
        <w:pStyle w:val="Akapitzlist"/>
        <w:numPr>
          <w:ilvl w:val="0"/>
          <w:numId w:val="16"/>
        </w:numPr>
        <w:spacing w:after="0" w:line="360" w:lineRule="auto"/>
        <w:jc w:val="both"/>
        <w:rPr>
          <w:rFonts w:ascii="Arial" w:hAnsi="Arial" w:cs="Arial"/>
          <w:sz w:val="18"/>
        </w:rPr>
      </w:pPr>
      <w:r w:rsidRPr="00476933">
        <w:rPr>
          <w:rFonts w:ascii="Arial" w:hAnsi="Arial" w:cs="Arial"/>
          <w:sz w:val="18"/>
        </w:rPr>
        <w:t>Należy jak najszybciej podjąć dz</w:t>
      </w:r>
      <w:r w:rsidRPr="00476933">
        <w:rPr>
          <w:rFonts w:ascii="Arial" w:hAnsi="Arial" w:cs="Arial"/>
          <w:sz w:val="18"/>
        </w:rPr>
        <w:t>iałania, które pozwolą na lepszą</w:t>
      </w:r>
      <w:r w:rsidRPr="00476933">
        <w:rPr>
          <w:rFonts w:ascii="Arial" w:hAnsi="Arial" w:cs="Arial"/>
          <w:sz w:val="18"/>
        </w:rPr>
        <w:t xml:space="preserve"> obsługę długu publicznego oraz redukcję nadmiernego deficytu. Ekonomiści wskazują, że choć dług publiczny będzie maleć, to utrzyma się na poziomie przekraczającym 57% przynajmniej do 2023 r. Szybsze podjęcie działań redukujących dług publiczny oraz zakładających obsługę długu w długofalowej perspektywie pozwoliłoby poprawić sytuację gospodarczą Polski.</w:t>
      </w:r>
    </w:p>
    <w:p w:rsidR="00476933" w:rsidRPr="00476933" w:rsidRDefault="00476933" w:rsidP="00476933">
      <w:pPr>
        <w:spacing w:after="0" w:line="360" w:lineRule="auto"/>
        <w:jc w:val="both"/>
        <w:rPr>
          <w:rFonts w:ascii="Arial" w:hAnsi="Arial" w:cs="Arial"/>
          <w:sz w:val="18"/>
        </w:rPr>
      </w:pPr>
    </w:p>
    <w:p w:rsidR="00364649" w:rsidRPr="00476933" w:rsidRDefault="00476933" w:rsidP="00476933">
      <w:pPr>
        <w:pStyle w:val="Akapitzlist"/>
        <w:numPr>
          <w:ilvl w:val="0"/>
          <w:numId w:val="16"/>
        </w:numPr>
        <w:spacing w:after="0" w:line="360" w:lineRule="auto"/>
        <w:jc w:val="both"/>
        <w:rPr>
          <w:rFonts w:ascii="Arial" w:hAnsi="Arial" w:cs="Arial"/>
          <w:sz w:val="18"/>
        </w:rPr>
      </w:pPr>
      <w:r w:rsidRPr="00476933">
        <w:rPr>
          <w:rFonts w:ascii="Arial" w:hAnsi="Arial" w:cs="Arial"/>
          <w:sz w:val="18"/>
        </w:rPr>
        <w:t xml:space="preserve">Należy podjąć działania zmierzające do poprawy sytuacji w polskim sądownictwie. Obecnie obowiązujące przepisy regulujące system dyscyplinarny wobec sędziów oraz tzw. „ustawa kagańcowa” doprowadziły do wszczęcia wobec Polski postępowań </w:t>
      </w:r>
      <w:proofErr w:type="spellStart"/>
      <w:r w:rsidRPr="00476933">
        <w:rPr>
          <w:rFonts w:ascii="Arial" w:hAnsi="Arial" w:cs="Arial"/>
          <w:sz w:val="18"/>
        </w:rPr>
        <w:t>przeciwnaruszeniowych</w:t>
      </w:r>
      <w:proofErr w:type="spellEnd"/>
      <w:r w:rsidRPr="00476933">
        <w:rPr>
          <w:rFonts w:ascii="Arial" w:hAnsi="Arial" w:cs="Arial"/>
          <w:sz w:val="18"/>
        </w:rPr>
        <w:t xml:space="preserve"> ze skargi Komisji Europejskiej na system dyscyplinarny w październiku 2019 r. oraz  ze skargi Komisji Europejskiej na tzw. „ustawę kagańcową”. Próby przejęcia przez obecny rząd władzy sądowniczej są niekonstytucyjne i przeczą podstawowej zasadzie trójpodziału władzy państwa demokratycznego. Ponadto, prowadzone postępowania UE w sprawie praworządności mogą skutkować ograniczeniem funduszy Unii Europejskiej dla Polski, co niewątpliwie doprowadzi do znacznego pogorszenia sytuacji gospodarczej kraju.</w:t>
      </w:r>
    </w:p>
    <w:p w:rsidR="000809F8" w:rsidRPr="00A330F7" w:rsidRDefault="000809F8" w:rsidP="000809F8">
      <w:pPr>
        <w:spacing w:after="0"/>
        <w:rPr>
          <w:rFonts w:ascii="Arial" w:hAnsi="Arial" w:cs="Arial"/>
          <w:sz w:val="18"/>
          <w:szCs w:val="16"/>
        </w:rPr>
      </w:pPr>
    </w:p>
    <w:p w:rsidR="000809F8" w:rsidRPr="00A330F7" w:rsidRDefault="000809F8" w:rsidP="000809F8">
      <w:pPr>
        <w:spacing w:after="0"/>
        <w:rPr>
          <w:rFonts w:ascii="Arial" w:hAnsi="Arial" w:cs="Arial"/>
          <w:sz w:val="16"/>
          <w:szCs w:val="16"/>
        </w:rPr>
      </w:pPr>
    </w:p>
    <w:p w:rsidR="00476933" w:rsidRDefault="00476933" w:rsidP="000809F8">
      <w:pPr>
        <w:spacing w:after="0"/>
        <w:rPr>
          <w:rFonts w:ascii="Arial" w:hAnsi="Arial" w:cs="Arial"/>
          <w:b/>
          <w:sz w:val="20"/>
        </w:rPr>
      </w:pPr>
    </w:p>
    <w:p w:rsidR="00476933" w:rsidRDefault="00476933" w:rsidP="000809F8">
      <w:pPr>
        <w:spacing w:after="0"/>
        <w:rPr>
          <w:rFonts w:ascii="Arial" w:hAnsi="Arial" w:cs="Arial"/>
          <w:b/>
          <w:sz w:val="20"/>
        </w:rPr>
      </w:pPr>
    </w:p>
    <w:p w:rsidR="000809F8" w:rsidRPr="00A330F7" w:rsidRDefault="000809F8" w:rsidP="000809F8">
      <w:pPr>
        <w:spacing w:after="0"/>
        <w:rPr>
          <w:rFonts w:ascii="Arial" w:hAnsi="Arial" w:cs="Arial"/>
          <w:b/>
          <w:sz w:val="20"/>
        </w:rPr>
      </w:pPr>
      <w:r w:rsidRPr="00A330F7">
        <w:rPr>
          <w:rFonts w:ascii="Arial" w:hAnsi="Arial" w:cs="Arial"/>
          <w:b/>
          <w:sz w:val="20"/>
        </w:rPr>
        <w:t>PODSUMOWANIE DOTYCHCZASOWYCH DZIAŁAŃ RZĄDU</w:t>
      </w:r>
    </w:p>
    <w:p w:rsidR="000809F8" w:rsidRDefault="000809F8" w:rsidP="000809F8">
      <w:pPr>
        <w:spacing w:after="0"/>
        <w:rPr>
          <w:rFonts w:ascii="Arial" w:hAnsi="Arial" w:cs="Arial"/>
          <w:b/>
        </w:rPr>
      </w:pPr>
    </w:p>
    <w:p w:rsidR="00364649" w:rsidRPr="00A330F7" w:rsidRDefault="00364649" w:rsidP="00364649">
      <w:pPr>
        <w:spacing w:after="0"/>
        <w:jc w:val="both"/>
        <w:rPr>
          <w:rFonts w:ascii="Arial" w:hAnsi="Arial" w:cs="Arial"/>
          <w:b/>
          <w:sz w:val="18"/>
        </w:rPr>
      </w:pPr>
      <w:r w:rsidRPr="00A330F7">
        <w:rPr>
          <w:rFonts w:ascii="Arial" w:hAnsi="Arial" w:cs="Arial"/>
          <w:b/>
          <w:sz w:val="18"/>
        </w:rPr>
        <w:t>Pozytywy:</w:t>
      </w:r>
    </w:p>
    <w:p w:rsidR="00476933" w:rsidRPr="00476933" w:rsidRDefault="00476933" w:rsidP="00476933">
      <w:pPr>
        <w:spacing w:after="0" w:line="360" w:lineRule="auto"/>
        <w:jc w:val="both"/>
        <w:rPr>
          <w:rFonts w:ascii="Arial" w:hAnsi="Arial" w:cs="Arial"/>
          <w:sz w:val="18"/>
        </w:rPr>
      </w:pPr>
    </w:p>
    <w:p w:rsidR="00476933" w:rsidRPr="00476933" w:rsidRDefault="00476933" w:rsidP="00476933">
      <w:pPr>
        <w:pStyle w:val="Akapitzlist"/>
        <w:numPr>
          <w:ilvl w:val="0"/>
          <w:numId w:val="17"/>
        </w:numPr>
        <w:spacing w:after="0" w:line="360" w:lineRule="auto"/>
        <w:jc w:val="both"/>
        <w:rPr>
          <w:rFonts w:ascii="Arial" w:hAnsi="Arial" w:cs="Arial"/>
          <w:sz w:val="18"/>
        </w:rPr>
      </w:pPr>
      <w:r w:rsidRPr="00476933">
        <w:rPr>
          <w:rFonts w:ascii="Arial" w:hAnsi="Arial" w:cs="Arial"/>
          <w:sz w:val="18"/>
        </w:rPr>
        <w:t>Zapowiadane przez Ministerstwo Finansów zmiany w uldze badawczo-rozwojowej należy ocenić jako pozytywne. Wysokość ulgi proinnowacyjnej dla Centrów Badawczo</w:t>
      </w:r>
      <w:r w:rsidRPr="00476933">
        <w:rPr>
          <w:rFonts w:ascii="Arial" w:hAnsi="Arial" w:cs="Arial"/>
          <w:sz w:val="18"/>
        </w:rPr>
        <w:t>-</w:t>
      </w:r>
      <w:r w:rsidRPr="00476933">
        <w:rPr>
          <w:rFonts w:ascii="Arial" w:hAnsi="Arial" w:cs="Arial"/>
          <w:sz w:val="18"/>
        </w:rPr>
        <w:t>Rozwojowych w wysokości 200%, jak również możliwość odpisania przez podatników prowadzących działalność B+R 200% kosztów osobowych, zdecydowanie poprawi dynamikę rozwoju innowacji w Polsce.</w:t>
      </w:r>
    </w:p>
    <w:p w:rsidR="00476933" w:rsidRPr="00476933" w:rsidRDefault="00476933" w:rsidP="00476933">
      <w:pPr>
        <w:spacing w:after="0" w:line="360" w:lineRule="auto"/>
        <w:jc w:val="both"/>
        <w:rPr>
          <w:rFonts w:ascii="Arial" w:hAnsi="Arial" w:cs="Arial"/>
          <w:sz w:val="18"/>
        </w:rPr>
      </w:pPr>
    </w:p>
    <w:p w:rsidR="00364649" w:rsidRPr="00476933" w:rsidRDefault="00476933" w:rsidP="00476933">
      <w:pPr>
        <w:pStyle w:val="Akapitzlist"/>
        <w:numPr>
          <w:ilvl w:val="0"/>
          <w:numId w:val="17"/>
        </w:numPr>
        <w:spacing w:after="0" w:line="360" w:lineRule="auto"/>
        <w:jc w:val="both"/>
        <w:rPr>
          <w:rFonts w:ascii="Arial" w:hAnsi="Arial" w:cs="Arial"/>
          <w:sz w:val="18"/>
        </w:rPr>
      </w:pPr>
      <w:r w:rsidRPr="00476933">
        <w:rPr>
          <w:rFonts w:ascii="Arial" w:hAnsi="Arial" w:cs="Arial"/>
          <w:sz w:val="18"/>
        </w:rPr>
        <w:t>J</w:t>
      </w:r>
      <w:r w:rsidRPr="00476933">
        <w:rPr>
          <w:rFonts w:ascii="Arial" w:hAnsi="Arial" w:cs="Arial"/>
          <w:sz w:val="18"/>
        </w:rPr>
        <w:t>ako działania zmierzające w dobrym kierunku</w:t>
      </w:r>
      <w:r w:rsidRPr="00476933">
        <w:rPr>
          <w:rFonts w:ascii="Arial" w:hAnsi="Arial" w:cs="Arial"/>
          <w:sz w:val="18"/>
        </w:rPr>
        <w:t xml:space="preserve"> oceniam p</w:t>
      </w:r>
      <w:r w:rsidRPr="00476933">
        <w:rPr>
          <w:rFonts w:ascii="Arial" w:hAnsi="Arial" w:cs="Arial"/>
          <w:sz w:val="18"/>
        </w:rPr>
        <w:t>rojekt tzw. Tarczy Prawnej Ministerstwa Rozwoju, Pracy i Technologii. W polskim systemie prawnym obowiązuje nadmiar regulacji, co prowadzi do skomplikowania wielu procedur. Założenia Tarczy Prawnej pozwoliłyby na przyspieszenie załatwiania wielu spraw poprzez szersze wykorzystanie postępowania uproszczonego i milczącego trybu załatwiania sprawy, elektronizację procedur, dodatkowe ich usprawnianie oraz przedłużanie terminów realizacji wybranych obowiązków ze względu na pandemię COVID-19. Natomiast założenia tarczy odnośnie wprowadzenia jednoinstancyjności postępowań należy ocenić jako niewłaściwe.</w:t>
      </w:r>
    </w:p>
    <w:p w:rsidR="00476933" w:rsidRPr="00A330F7" w:rsidRDefault="00476933" w:rsidP="00476933">
      <w:pPr>
        <w:spacing w:after="0" w:line="360" w:lineRule="auto"/>
        <w:jc w:val="both"/>
        <w:rPr>
          <w:rFonts w:ascii="Arial" w:hAnsi="Arial" w:cs="Arial"/>
          <w:sz w:val="20"/>
        </w:rPr>
      </w:pPr>
    </w:p>
    <w:p w:rsidR="00364649" w:rsidRPr="00A330F7" w:rsidRDefault="00364649" w:rsidP="00364649">
      <w:pPr>
        <w:spacing w:after="0"/>
        <w:jc w:val="both"/>
        <w:rPr>
          <w:rFonts w:ascii="Arial" w:hAnsi="Arial" w:cs="Arial"/>
          <w:bCs/>
          <w:sz w:val="18"/>
        </w:rPr>
      </w:pPr>
      <w:r w:rsidRPr="00A330F7">
        <w:rPr>
          <w:rFonts w:ascii="Arial" w:hAnsi="Arial" w:cs="Arial"/>
          <w:b/>
          <w:bCs/>
          <w:sz w:val="18"/>
        </w:rPr>
        <w:t>Zagrożenia:</w:t>
      </w:r>
    </w:p>
    <w:p w:rsidR="00364649" w:rsidRPr="00476933" w:rsidRDefault="00364649" w:rsidP="00364649">
      <w:pPr>
        <w:spacing w:after="0" w:line="312" w:lineRule="auto"/>
        <w:jc w:val="both"/>
        <w:rPr>
          <w:rFonts w:ascii="Arial" w:hAnsi="Arial" w:cs="Arial"/>
          <w:b/>
          <w:sz w:val="20"/>
        </w:rPr>
      </w:pPr>
    </w:p>
    <w:p w:rsidR="00476933" w:rsidRPr="00476933" w:rsidRDefault="00476933" w:rsidP="00476933">
      <w:pPr>
        <w:pStyle w:val="Akapitzlist"/>
        <w:numPr>
          <w:ilvl w:val="0"/>
          <w:numId w:val="18"/>
        </w:numPr>
        <w:spacing w:after="0" w:line="360" w:lineRule="auto"/>
        <w:jc w:val="both"/>
        <w:rPr>
          <w:rFonts w:ascii="Arial" w:hAnsi="Arial" w:cs="Arial"/>
          <w:sz w:val="18"/>
          <w:szCs w:val="18"/>
        </w:rPr>
      </w:pPr>
      <w:r w:rsidRPr="00476933">
        <w:rPr>
          <w:rFonts w:ascii="Arial" w:hAnsi="Arial" w:cs="Arial"/>
          <w:sz w:val="18"/>
          <w:szCs w:val="18"/>
        </w:rPr>
        <w:t>Wysoka i utrwalająca się inflacja jest szczególnie dotkliwym ekonomicznie zagrożeniem</w:t>
      </w:r>
      <w:r>
        <w:rPr>
          <w:rFonts w:ascii="Arial" w:hAnsi="Arial" w:cs="Arial"/>
          <w:sz w:val="18"/>
          <w:szCs w:val="18"/>
        </w:rPr>
        <w:t>,</w:t>
      </w:r>
      <w:r w:rsidRPr="00476933">
        <w:rPr>
          <w:rFonts w:ascii="Arial" w:hAnsi="Arial" w:cs="Arial"/>
          <w:sz w:val="18"/>
          <w:szCs w:val="18"/>
        </w:rPr>
        <w:t xml:space="preserve"> zarówno dla rządu jak i obywateli, ponieważ obciąża nie nominalne, a realne salda gotówkowe. Oświadczenia władz monetarnych, że obserwowana obecnie inflacja charakteryzuje się jedynie tymczasowym wzrostem są nieprzekonujące, a jej poziom bliski prawie 5% powinien być traktowany jako szczególnie istotne zagrożenie dla rozwoju gospodarczego państwa.</w:t>
      </w:r>
    </w:p>
    <w:p w:rsidR="00476933" w:rsidRPr="00476933" w:rsidRDefault="00476933" w:rsidP="00476933">
      <w:pPr>
        <w:spacing w:after="0" w:line="360" w:lineRule="auto"/>
        <w:jc w:val="both"/>
        <w:rPr>
          <w:rFonts w:ascii="Arial" w:hAnsi="Arial" w:cs="Arial"/>
          <w:sz w:val="18"/>
          <w:szCs w:val="18"/>
        </w:rPr>
      </w:pPr>
    </w:p>
    <w:p w:rsidR="00364649" w:rsidRPr="00476933" w:rsidRDefault="00476933" w:rsidP="00476933">
      <w:pPr>
        <w:pStyle w:val="Akapitzlist"/>
        <w:numPr>
          <w:ilvl w:val="0"/>
          <w:numId w:val="18"/>
        </w:numPr>
        <w:spacing w:after="0" w:line="360" w:lineRule="auto"/>
        <w:jc w:val="both"/>
        <w:rPr>
          <w:rFonts w:ascii="Arial" w:hAnsi="Arial" w:cs="Arial"/>
          <w:sz w:val="18"/>
          <w:szCs w:val="18"/>
        </w:rPr>
      </w:pPr>
      <w:r w:rsidRPr="00476933">
        <w:rPr>
          <w:rFonts w:ascii="Arial" w:hAnsi="Arial" w:cs="Arial"/>
          <w:sz w:val="18"/>
          <w:szCs w:val="18"/>
        </w:rPr>
        <w:t>Już w tym momencie należy podjąć działania umożliwiające uniknięcie kolejn</w:t>
      </w:r>
      <w:r>
        <w:rPr>
          <w:rFonts w:ascii="Arial" w:hAnsi="Arial" w:cs="Arial"/>
          <w:sz w:val="18"/>
          <w:szCs w:val="18"/>
        </w:rPr>
        <w:t xml:space="preserve">ego </w:t>
      </w:r>
      <w:proofErr w:type="spellStart"/>
      <w:r>
        <w:rPr>
          <w:rFonts w:ascii="Arial" w:hAnsi="Arial" w:cs="Arial"/>
          <w:sz w:val="18"/>
          <w:szCs w:val="18"/>
        </w:rPr>
        <w:t>lockdownu</w:t>
      </w:r>
      <w:proofErr w:type="spellEnd"/>
      <w:r>
        <w:rPr>
          <w:rFonts w:ascii="Arial" w:hAnsi="Arial" w:cs="Arial"/>
          <w:sz w:val="18"/>
          <w:szCs w:val="18"/>
        </w:rPr>
        <w:t xml:space="preserve"> lub wprowadzające </w:t>
      </w:r>
      <w:r w:rsidRPr="00476933">
        <w:rPr>
          <w:rFonts w:ascii="Arial" w:hAnsi="Arial" w:cs="Arial"/>
          <w:sz w:val="18"/>
          <w:szCs w:val="18"/>
        </w:rPr>
        <w:t>odpowiednie instrumenty pomocowe, które pozwolą przedsiębiorcom zachować płynność finansową oraz uniknąć upadłości. Choć obecnie sytuacja epidemiczna została względnie opanowana, to nie można mieć pewności, że na jesieni 2021 r. epidemia nie powróci, choćby w wyniku powstania kolejnej mutacji wirusa SARS-COV-2. Dotychczasowe wprowadzanie instrumentów pomocowych w drodze tzw. Tarcz Antykryzysowych następowało dopiero po zamknięciu danej branży. Podjęcie działań zmierzających do wprowadzenia instrumentów pomocowych już teraz pozwoliłoby na uniknięcie błędów, które występowały po wprowadzeniu tzw. Tarczy Antykryzysowej 4.0.</w:t>
      </w:r>
    </w:p>
    <w:p w:rsidR="000809F8" w:rsidRDefault="000809F8" w:rsidP="000809F8">
      <w:pPr>
        <w:spacing w:after="0" w:line="100" w:lineRule="atLeast"/>
        <w:jc w:val="both"/>
        <w:rPr>
          <w:rFonts w:ascii="Arial" w:hAnsi="Arial" w:cs="Arial"/>
          <w:sz w:val="16"/>
          <w:szCs w:val="18"/>
          <w:u w:val="single"/>
        </w:rPr>
      </w:pPr>
    </w:p>
    <w:p w:rsidR="00476933" w:rsidRDefault="00476933" w:rsidP="000809F8">
      <w:pPr>
        <w:spacing w:after="0" w:line="100" w:lineRule="atLeast"/>
        <w:jc w:val="both"/>
        <w:rPr>
          <w:rFonts w:ascii="Arial" w:hAnsi="Arial" w:cs="Arial"/>
          <w:sz w:val="16"/>
          <w:szCs w:val="18"/>
          <w:u w:val="single"/>
        </w:rPr>
      </w:pPr>
    </w:p>
    <w:p w:rsidR="00476933" w:rsidRDefault="00476933" w:rsidP="000809F8">
      <w:pPr>
        <w:spacing w:after="0" w:line="100" w:lineRule="atLeast"/>
        <w:jc w:val="both"/>
        <w:rPr>
          <w:rFonts w:ascii="Arial" w:hAnsi="Arial" w:cs="Arial"/>
          <w:sz w:val="16"/>
          <w:szCs w:val="18"/>
          <w:u w:val="single"/>
        </w:rPr>
      </w:pPr>
    </w:p>
    <w:p w:rsidR="00476933" w:rsidRDefault="00476933" w:rsidP="000809F8">
      <w:pPr>
        <w:spacing w:after="0" w:line="100" w:lineRule="atLeast"/>
        <w:jc w:val="both"/>
        <w:rPr>
          <w:rFonts w:ascii="Arial" w:hAnsi="Arial" w:cs="Arial"/>
          <w:sz w:val="16"/>
          <w:szCs w:val="18"/>
          <w:u w:val="single"/>
        </w:rPr>
      </w:pPr>
    </w:p>
    <w:p w:rsidR="00476933" w:rsidRDefault="00476933" w:rsidP="000809F8">
      <w:pPr>
        <w:spacing w:after="0" w:line="100" w:lineRule="atLeast"/>
        <w:jc w:val="both"/>
        <w:rPr>
          <w:rFonts w:ascii="Arial" w:hAnsi="Arial" w:cs="Arial"/>
          <w:sz w:val="16"/>
          <w:szCs w:val="18"/>
          <w:u w:val="single"/>
        </w:rPr>
      </w:pPr>
    </w:p>
    <w:p w:rsidR="00476933" w:rsidRDefault="00476933" w:rsidP="000809F8">
      <w:pPr>
        <w:spacing w:after="0" w:line="100" w:lineRule="atLeast"/>
        <w:jc w:val="both"/>
        <w:rPr>
          <w:rFonts w:ascii="Arial" w:hAnsi="Arial" w:cs="Arial"/>
          <w:sz w:val="16"/>
          <w:szCs w:val="18"/>
          <w:u w:val="single"/>
        </w:rPr>
      </w:pPr>
    </w:p>
    <w:p w:rsidR="00476933" w:rsidRDefault="00476933" w:rsidP="000809F8">
      <w:pPr>
        <w:spacing w:after="0" w:line="100" w:lineRule="atLeast"/>
        <w:jc w:val="both"/>
        <w:rPr>
          <w:rFonts w:ascii="Arial" w:hAnsi="Arial" w:cs="Arial"/>
          <w:sz w:val="16"/>
          <w:szCs w:val="18"/>
          <w:u w:val="single"/>
        </w:rPr>
      </w:pPr>
    </w:p>
    <w:p w:rsidR="00476933" w:rsidRDefault="00476933" w:rsidP="000809F8">
      <w:pPr>
        <w:spacing w:after="0" w:line="100" w:lineRule="atLeast"/>
        <w:jc w:val="both"/>
        <w:rPr>
          <w:rFonts w:ascii="Arial" w:hAnsi="Arial" w:cs="Arial"/>
          <w:sz w:val="16"/>
          <w:szCs w:val="18"/>
          <w:u w:val="single"/>
        </w:rPr>
      </w:pPr>
    </w:p>
    <w:p w:rsidR="00476933" w:rsidRDefault="00476933" w:rsidP="000809F8">
      <w:pPr>
        <w:spacing w:after="0" w:line="100" w:lineRule="atLeast"/>
        <w:jc w:val="both"/>
        <w:rPr>
          <w:rFonts w:ascii="Arial" w:hAnsi="Arial" w:cs="Arial"/>
          <w:sz w:val="16"/>
          <w:szCs w:val="18"/>
          <w:u w:val="single"/>
        </w:rPr>
      </w:pPr>
    </w:p>
    <w:p w:rsidR="00476933" w:rsidRDefault="00476933" w:rsidP="000809F8">
      <w:pPr>
        <w:spacing w:after="0" w:line="100" w:lineRule="atLeast"/>
        <w:jc w:val="both"/>
        <w:rPr>
          <w:rFonts w:ascii="Arial" w:hAnsi="Arial" w:cs="Arial"/>
          <w:sz w:val="16"/>
          <w:szCs w:val="18"/>
          <w:u w:val="single"/>
        </w:rPr>
      </w:pPr>
    </w:p>
    <w:p w:rsidR="00476933" w:rsidRDefault="00476933" w:rsidP="000809F8">
      <w:pPr>
        <w:spacing w:after="0" w:line="100" w:lineRule="atLeast"/>
        <w:jc w:val="both"/>
        <w:rPr>
          <w:rFonts w:ascii="Arial" w:hAnsi="Arial" w:cs="Arial"/>
          <w:sz w:val="16"/>
          <w:szCs w:val="18"/>
          <w:u w:val="single"/>
        </w:rPr>
      </w:pPr>
    </w:p>
    <w:p w:rsidR="000809F8" w:rsidRPr="00293627" w:rsidRDefault="000809F8" w:rsidP="000809F8">
      <w:pPr>
        <w:spacing w:after="0" w:line="100" w:lineRule="atLeast"/>
        <w:jc w:val="both"/>
        <w:rPr>
          <w:rFonts w:ascii="Arial" w:hAnsi="Arial" w:cs="Arial"/>
          <w:sz w:val="16"/>
          <w:szCs w:val="18"/>
          <w:u w:val="single"/>
        </w:rPr>
      </w:pPr>
      <w:r w:rsidRPr="00293627">
        <w:rPr>
          <w:rFonts w:ascii="Arial" w:hAnsi="Arial" w:cs="Arial"/>
          <w:sz w:val="16"/>
          <w:szCs w:val="18"/>
          <w:u w:val="single"/>
        </w:rPr>
        <w:t>Kontakt:</w:t>
      </w:r>
    </w:p>
    <w:p w:rsidR="000809F8" w:rsidRPr="00CF32D4" w:rsidRDefault="000809F8" w:rsidP="000809F8">
      <w:pPr>
        <w:spacing w:after="0" w:line="100" w:lineRule="atLeast"/>
        <w:jc w:val="both"/>
        <w:rPr>
          <w:rFonts w:ascii="Arial" w:hAnsi="Arial" w:cs="Arial"/>
          <w:b/>
          <w:bCs/>
          <w:sz w:val="16"/>
          <w:szCs w:val="18"/>
          <w:u w:val="single"/>
        </w:rPr>
      </w:pPr>
    </w:p>
    <w:p w:rsidR="000809F8" w:rsidRPr="00CF32D4" w:rsidRDefault="000809F8" w:rsidP="000809F8">
      <w:pPr>
        <w:suppressAutoHyphens/>
        <w:spacing w:after="0" w:line="100" w:lineRule="atLeast"/>
        <w:rPr>
          <w:rFonts w:ascii="Arial" w:eastAsia="Arial Unicode MS" w:hAnsi="Arial" w:cs="Arial"/>
          <w:b/>
          <w:bCs/>
          <w:sz w:val="16"/>
          <w:szCs w:val="18"/>
          <w:lang w:eastAsia="ar-SA"/>
        </w:rPr>
      </w:pPr>
      <w:r w:rsidRPr="00CF32D4">
        <w:rPr>
          <w:rFonts w:ascii="Arial" w:eastAsia="Arial Unicode MS" w:hAnsi="Arial" w:cs="Arial"/>
          <w:b/>
          <w:bCs/>
          <w:sz w:val="16"/>
          <w:szCs w:val="18"/>
          <w:lang w:eastAsia="ar-SA"/>
        </w:rPr>
        <w:t>Emil Muciński</w:t>
      </w:r>
    </w:p>
    <w:p w:rsidR="000809F8" w:rsidRPr="00CF32D4" w:rsidRDefault="000809F8" w:rsidP="000809F8">
      <w:pPr>
        <w:suppressAutoHyphens/>
        <w:spacing w:after="0" w:line="100" w:lineRule="atLeast"/>
        <w:rPr>
          <w:rFonts w:ascii="Arial" w:eastAsia="Arial Unicode MS" w:hAnsi="Arial" w:cs="Arial"/>
          <w:sz w:val="16"/>
          <w:szCs w:val="18"/>
          <w:lang w:eastAsia="ar-SA"/>
        </w:rPr>
      </w:pPr>
      <w:r w:rsidRPr="00CF32D4">
        <w:rPr>
          <w:rFonts w:ascii="Arial" w:eastAsia="Arial Unicode MS" w:hAnsi="Arial" w:cs="Arial"/>
          <w:sz w:val="16"/>
          <w:szCs w:val="18"/>
          <w:lang w:eastAsia="ar-SA"/>
        </w:rPr>
        <w:t>rzecznik,</w:t>
      </w:r>
      <w:r>
        <w:rPr>
          <w:rFonts w:ascii="Arial" w:eastAsia="Arial Unicode MS" w:hAnsi="Arial" w:cs="Arial"/>
          <w:sz w:val="16"/>
          <w:szCs w:val="18"/>
          <w:lang w:eastAsia="ar-SA"/>
        </w:rPr>
        <w:t xml:space="preserve"> dyrektor</w:t>
      </w:r>
      <w:r w:rsidRPr="00CF32D4">
        <w:rPr>
          <w:rFonts w:ascii="Arial" w:eastAsia="Arial Unicode MS" w:hAnsi="Arial" w:cs="Arial"/>
          <w:sz w:val="16"/>
          <w:szCs w:val="18"/>
          <w:lang w:eastAsia="ar-SA"/>
        </w:rPr>
        <w:t xml:space="preserve"> Instytut</w:t>
      </w:r>
      <w:r>
        <w:rPr>
          <w:rFonts w:ascii="Arial" w:eastAsia="Arial Unicode MS" w:hAnsi="Arial" w:cs="Arial"/>
          <w:sz w:val="16"/>
          <w:szCs w:val="18"/>
          <w:lang w:eastAsia="ar-SA"/>
        </w:rPr>
        <w:t>u</w:t>
      </w:r>
      <w:r w:rsidRPr="00CF32D4">
        <w:rPr>
          <w:rFonts w:ascii="Arial" w:eastAsia="Arial Unicode MS" w:hAnsi="Arial" w:cs="Arial"/>
          <w:sz w:val="16"/>
          <w:szCs w:val="18"/>
          <w:lang w:eastAsia="ar-SA"/>
        </w:rPr>
        <w:t xml:space="preserve"> Interwencji Gospodarczych BCC</w:t>
      </w:r>
    </w:p>
    <w:p w:rsidR="000809F8" w:rsidRPr="00CF32D4" w:rsidRDefault="000809F8" w:rsidP="000809F8">
      <w:pPr>
        <w:suppressAutoHyphens/>
        <w:spacing w:after="0" w:line="100" w:lineRule="atLeast"/>
        <w:rPr>
          <w:rFonts w:ascii="Arial" w:eastAsia="Arial Unicode MS" w:hAnsi="Arial" w:cs="Arial"/>
          <w:color w:val="146CB4"/>
          <w:sz w:val="16"/>
          <w:szCs w:val="18"/>
          <w:lang w:val="en-US" w:eastAsia="ar-SA"/>
        </w:rPr>
      </w:pPr>
      <w:r w:rsidRPr="00CF32D4">
        <w:rPr>
          <w:rFonts w:ascii="Arial" w:eastAsia="Arial Unicode MS" w:hAnsi="Arial" w:cs="Arial"/>
          <w:sz w:val="16"/>
          <w:szCs w:val="18"/>
          <w:lang w:val="en-US" w:eastAsia="ar-SA"/>
        </w:rPr>
        <w:t>tel. 602 571</w:t>
      </w:r>
      <w:r>
        <w:rPr>
          <w:rFonts w:ascii="Arial" w:eastAsia="Arial Unicode MS" w:hAnsi="Arial" w:cs="Arial"/>
          <w:sz w:val="16"/>
          <w:szCs w:val="18"/>
          <w:lang w:val="en-US" w:eastAsia="ar-SA"/>
        </w:rPr>
        <w:t> </w:t>
      </w:r>
      <w:r w:rsidRPr="00CF32D4">
        <w:rPr>
          <w:rFonts w:ascii="Arial" w:eastAsia="Arial Unicode MS" w:hAnsi="Arial" w:cs="Arial"/>
          <w:sz w:val="16"/>
          <w:szCs w:val="18"/>
          <w:lang w:val="en-US" w:eastAsia="ar-SA"/>
        </w:rPr>
        <w:t>395</w:t>
      </w:r>
      <w:r>
        <w:rPr>
          <w:rFonts w:ascii="Arial" w:eastAsia="Arial Unicode MS" w:hAnsi="Arial" w:cs="Arial"/>
          <w:sz w:val="16"/>
          <w:szCs w:val="18"/>
          <w:lang w:val="en-US" w:eastAsia="ar-SA"/>
        </w:rPr>
        <w:t xml:space="preserve">, </w:t>
      </w:r>
      <w:r w:rsidRPr="00CF32D4">
        <w:rPr>
          <w:rFonts w:ascii="Arial" w:eastAsia="Arial Unicode MS" w:hAnsi="Arial" w:cs="Arial"/>
          <w:sz w:val="16"/>
          <w:szCs w:val="18"/>
          <w:lang w:val="en-US" w:eastAsia="ar-SA"/>
        </w:rPr>
        <w:t xml:space="preserve">e-mail: </w:t>
      </w:r>
      <w:hyperlink r:id="rId10" w:history="1">
        <w:r w:rsidRPr="001C0D57">
          <w:rPr>
            <w:rStyle w:val="Hipercze"/>
            <w:rFonts w:ascii="Arial" w:eastAsia="Arial Unicode MS" w:hAnsi="Arial" w:cs="Arial"/>
            <w:sz w:val="16"/>
            <w:szCs w:val="18"/>
            <w:lang w:val="en-US" w:eastAsia="ar-SA"/>
          </w:rPr>
          <w:t>emil.mucinski@bcc.pl</w:t>
        </w:r>
      </w:hyperlink>
    </w:p>
    <w:p w:rsidR="000809F8" w:rsidRDefault="000809F8" w:rsidP="000809F8">
      <w:pPr>
        <w:spacing w:after="0" w:line="240" w:lineRule="auto"/>
        <w:jc w:val="both"/>
        <w:rPr>
          <w:b/>
          <w:sz w:val="20"/>
          <w:szCs w:val="28"/>
        </w:rPr>
      </w:pPr>
    </w:p>
    <w:p w:rsidR="00D81796" w:rsidRPr="000809F8" w:rsidRDefault="000809F8" w:rsidP="00342A87">
      <w:pPr>
        <w:pBdr>
          <w:top w:val="single" w:sz="2" w:space="6" w:color="C00000"/>
        </w:pBdr>
        <w:spacing w:after="0" w:line="240" w:lineRule="auto"/>
        <w:jc w:val="both"/>
        <w:rPr>
          <w:rFonts w:cs="Calibri"/>
          <w:i/>
          <w:color w:val="808080"/>
          <w:sz w:val="14"/>
          <w:szCs w:val="16"/>
        </w:rPr>
      </w:pPr>
      <w:r w:rsidRPr="00303D9E">
        <w:rPr>
          <w:rFonts w:cs="Calibri"/>
          <w:b/>
          <w:i/>
          <w:color w:val="808080"/>
          <w:sz w:val="14"/>
          <w:szCs w:val="16"/>
        </w:rPr>
        <w:t>Gospodarczy Gabinet Cieni Business Centre Club</w:t>
      </w:r>
      <w:r w:rsidRPr="00303D9E">
        <w:rPr>
          <w:rFonts w:cs="Calibri"/>
          <w:i/>
          <w:color w:val="808080"/>
          <w:sz w:val="14"/>
          <w:szCs w:val="16"/>
        </w:rPr>
        <w:t xml:space="preserve"> to </w:t>
      </w:r>
      <w:proofErr w:type="spellStart"/>
      <w:r w:rsidRPr="00303D9E">
        <w:rPr>
          <w:rFonts w:cs="Calibri"/>
          <w:i/>
          <w:color w:val="808080"/>
          <w:sz w:val="14"/>
          <w:szCs w:val="16"/>
        </w:rPr>
        <w:t>think</w:t>
      </w:r>
      <w:proofErr w:type="spellEnd"/>
      <w:r w:rsidRPr="00303D9E">
        <w:rPr>
          <w:rFonts w:cs="Calibri"/>
          <w:i/>
          <w:color w:val="808080"/>
          <w:sz w:val="14"/>
          <w:szCs w:val="16"/>
        </w:rPr>
        <w:t xml:space="preserve"> tank powołany w kwietniu 2012 r., aby wspierać działania prorozwojowe władz publicznych, monitorować prace resortów kluczowych dla przedsiębiorczości, rekomendować zmiany sprzyjające rozwojowi kraju, wzrostowi gospodarczemu i konkurencyjności polskich firm. W skład GGC BCC wchodzą wybitni gospodarczy fachowcy, z których wielu piastowało w przeszłości funkcje publiczne [lista poniżej]. Więcej informacji: </w:t>
      </w:r>
      <w:hyperlink r:id="rId11" w:history="1">
        <w:r w:rsidRPr="00303D9E">
          <w:rPr>
            <w:rStyle w:val="Hipercze"/>
            <w:rFonts w:cs="Calibri"/>
            <w:i/>
            <w:sz w:val="14"/>
            <w:szCs w:val="16"/>
          </w:rPr>
          <w:t>http://www.bcc.org.pl/Gospodarczy-Gabinet-Cieni.4241.0.html</w:t>
        </w:r>
      </w:hyperlink>
      <w:bookmarkEnd w:id="0"/>
    </w:p>
    <w:sectPr w:rsidR="00D81796" w:rsidRPr="000809F8" w:rsidSect="00364649">
      <w:footerReference w:type="default" r:id="rId12"/>
      <w:pgSz w:w="11906" w:h="16838"/>
      <w:pgMar w:top="1135" w:right="1417" w:bottom="1135" w:left="1417"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C03" w:rsidRDefault="00462C03">
      <w:pPr>
        <w:spacing w:after="0" w:line="240" w:lineRule="auto"/>
      </w:pPr>
      <w:r>
        <w:separator/>
      </w:r>
    </w:p>
  </w:endnote>
  <w:endnote w:type="continuationSeparator" w:id="0">
    <w:p w:rsidR="00462C03" w:rsidRDefault="00462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A4" w:rsidRPr="009B7B9C" w:rsidRDefault="000F6A44" w:rsidP="0079671E">
    <w:pPr>
      <w:pStyle w:val="Stopka"/>
      <w:rPr>
        <w:sz w:val="18"/>
      </w:rPr>
    </w:pPr>
    <w:r>
      <w:rPr>
        <w:sz w:val="16"/>
        <w:szCs w:val="18"/>
      </w:rPr>
      <w:t>Gospodarczy Gabinet Cieni BCC – XXX</w:t>
    </w:r>
    <w:r w:rsidR="000809F8">
      <w:rPr>
        <w:sz w:val="16"/>
        <w:szCs w:val="18"/>
      </w:rPr>
      <w:t>VII</w:t>
    </w:r>
    <w:r>
      <w:rPr>
        <w:sz w:val="16"/>
        <w:szCs w:val="18"/>
      </w:rPr>
      <w:t xml:space="preserve"> Raport kwartalny – </w:t>
    </w:r>
    <w:r w:rsidR="000809F8">
      <w:rPr>
        <w:sz w:val="16"/>
        <w:szCs w:val="18"/>
      </w:rPr>
      <w:t>23</w:t>
    </w:r>
    <w:r w:rsidRPr="009B7B9C">
      <w:rPr>
        <w:sz w:val="16"/>
        <w:szCs w:val="18"/>
      </w:rPr>
      <w:t>.</w:t>
    </w:r>
    <w:r>
      <w:rPr>
        <w:sz w:val="16"/>
        <w:szCs w:val="18"/>
      </w:rPr>
      <w:t>06</w:t>
    </w:r>
    <w:r w:rsidR="000809F8">
      <w:rPr>
        <w:sz w:val="16"/>
        <w:szCs w:val="18"/>
      </w:rPr>
      <w:t>.</w:t>
    </w:r>
    <w:r w:rsidRPr="009B7B9C">
      <w:rPr>
        <w:sz w:val="16"/>
        <w:szCs w:val="18"/>
      </w:rPr>
      <w:t>2</w:t>
    </w:r>
    <w:r>
      <w:rPr>
        <w:sz w:val="16"/>
        <w:szCs w:val="18"/>
      </w:rPr>
      <w:t>0</w:t>
    </w:r>
    <w:r w:rsidR="000809F8">
      <w:rPr>
        <w:sz w:val="16"/>
        <w:szCs w:val="18"/>
      </w:rPr>
      <w:t>21</w:t>
    </w:r>
    <w:r w:rsidRPr="009B7B9C">
      <w:rPr>
        <w:sz w:val="16"/>
        <w:szCs w:val="18"/>
      </w:rPr>
      <w:t xml:space="preserve"> r.</w:t>
    </w:r>
    <w:r>
      <w:rPr>
        <w:sz w:val="16"/>
        <w:szCs w:val="18"/>
      </w:rPr>
      <w:tab/>
    </w:r>
    <w:r w:rsidRPr="009B7B9C">
      <w:rPr>
        <w:sz w:val="18"/>
      </w:rPr>
      <w:t xml:space="preserve"> </w:t>
    </w:r>
    <w:r>
      <w:rPr>
        <w:sz w:val="18"/>
      </w:rPr>
      <w:tab/>
    </w:r>
    <w:r w:rsidRPr="009B7B9C">
      <w:rPr>
        <w:sz w:val="18"/>
      </w:rPr>
      <w:fldChar w:fldCharType="begin"/>
    </w:r>
    <w:r w:rsidRPr="009B7B9C">
      <w:rPr>
        <w:sz w:val="18"/>
      </w:rPr>
      <w:instrText xml:space="preserve"> PAGE   \* MERGEFORMAT </w:instrText>
    </w:r>
    <w:r w:rsidRPr="009B7B9C">
      <w:rPr>
        <w:sz w:val="18"/>
      </w:rPr>
      <w:fldChar w:fldCharType="separate"/>
    </w:r>
    <w:r w:rsidR="00476933">
      <w:rPr>
        <w:noProof/>
        <w:sz w:val="18"/>
      </w:rPr>
      <w:t>1</w:t>
    </w:r>
    <w:r w:rsidRPr="009B7B9C">
      <w:rPr>
        <w:sz w:val="18"/>
      </w:rPr>
      <w:fldChar w:fldCharType="end"/>
    </w:r>
  </w:p>
  <w:p w:rsidR="00B453A4" w:rsidRDefault="00462C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C03" w:rsidRDefault="00462C03">
      <w:pPr>
        <w:spacing w:after="0" w:line="240" w:lineRule="auto"/>
      </w:pPr>
      <w:r>
        <w:separator/>
      </w:r>
    </w:p>
  </w:footnote>
  <w:footnote w:type="continuationSeparator" w:id="0">
    <w:p w:rsidR="00462C03" w:rsidRDefault="00462C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6181"/>
    <w:multiLevelType w:val="hybridMultilevel"/>
    <w:tmpl w:val="75D0441E"/>
    <w:lvl w:ilvl="0" w:tplc="9C6076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F21F3B"/>
    <w:multiLevelType w:val="hybridMultilevel"/>
    <w:tmpl w:val="410A9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95F60CC"/>
    <w:multiLevelType w:val="hybridMultilevel"/>
    <w:tmpl w:val="97B68DA6"/>
    <w:lvl w:ilvl="0" w:tplc="3C8A03D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B3558D3"/>
    <w:multiLevelType w:val="hybridMultilevel"/>
    <w:tmpl w:val="9B3E35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CDF2CA9"/>
    <w:multiLevelType w:val="hybridMultilevel"/>
    <w:tmpl w:val="82BA9A92"/>
    <w:lvl w:ilvl="0" w:tplc="3C8A03D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24A0190"/>
    <w:multiLevelType w:val="hybridMultilevel"/>
    <w:tmpl w:val="4EBA8BCE"/>
    <w:lvl w:ilvl="0" w:tplc="F41220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3906AC5"/>
    <w:multiLevelType w:val="hybridMultilevel"/>
    <w:tmpl w:val="7A8CEEAA"/>
    <w:lvl w:ilvl="0" w:tplc="A2063946">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D077E0D"/>
    <w:multiLevelType w:val="hybridMultilevel"/>
    <w:tmpl w:val="13EED0C0"/>
    <w:lvl w:ilvl="0" w:tplc="144AAF8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36123CC"/>
    <w:multiLevelType w:val="hybridMultilevel"/>
    <w:tmpl w:val="8AE8872A"/>
    <w:lvl w:ilvl="0" w:tplc="D396B61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56863C2"/>
    <w:multiLevelType w:val="hybridMultilevel"/>
    <w:tmpl w:val="C8C26A72"/>
    <w:lvl w:ilvl="0" w:tplc="0A18B9A2">
      <w:start w:val="1"/>
      <w:numFmt w:val="decimal"/>
      <w:lvlText w:val="%1."/>
      <w:lvlJc w:val="left"/>
      <w:pPr>
        <w:ind w:left="720" w:hanging="360"/>
      </w:pPr>
      <w:rPr>
        <w:rFonts w:ascii="Arial" w:hAnsi="Arial" w:cs="Arial"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D31272E"/>
    <w:multiLevelType w:val="hybridMultilevel"/>
    <w:tmpl w:val="234470DC"/>
    <w:lvl w:ilvl="0" w:tplc="14BCBF6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D574506"/>
    <w:multiLevelType w:val="hybridMultilevel"/>
    <w:tmpl w:val="2FE254F6"/>
    <w:lvl w:ilvl="0" w:tplc="EDA8F0B0">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646F2FE7"/>
    <w:multiLevelType w:val="hybridMultilevel"/>
    <w:tmpl w:val="C38A0FE6"/>
    <w:lvl w:ilvl="0" w:tplc="3C8A03D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ACD1044"/>
    <w:multiLevelType w:val="hybridMultilevel"/>
    <w:tmpl w:val="CE866B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3D9279E"/>
    <w:multiLevelType w:val="hybridMultilevel"/>
    <w:tmpl w:val="6BBA5B82"/>
    <w:lvl w:ilvl="0" w:tplc="FC423506">
      <w:start w:val="1"/>
      <w:numFmt w:val="decimal"/>
      <w:lvlText w:val="%1."/>
      <w:lvlJc w:val="left"/>
      <w:pPr>
        <w:ind w:left="502" w:hanging="360"/>
      </w:pPr>
      <w:rPr>
        <w:rFonts w:ascii="Arial" w:hAnsi="Arial" w:cs="Arial" w:hint="default"/>
        <w:b/>
        <w:sz w:val="18"/>
        <w:szCs w:val="18"/>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nsid w:val="7832781B"/>
    <w:multiLevelType w:val="hybridMultilevel"/>
    <w:tmpl w:val="8BDAB5BE"/>
    <w:lvl w:ilvl="0" w:tplc="A938420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CA6372A"/>
    <w:multiLevelType w:val="hybridMultilevel"/>
    <w:tmpl w:val="D35C0172"/>
    <w:lvl w:ilvl="0" w:tplc="923C9D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F274BDF"/>
    <w:multiLevelType w:val="hybridMultilevel"/>
    <w:tmpl w:val="D328463A"/>
    <w:lvl w:ilvl="0" w:tplc="858CDBA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7"/>
  </w:num>
  <w:num w:numId="2">
    <w:abstractNumId w:val="0"/>
  </w:num>
  <w:num w:numId="3">
    <w:abstractNumId w:val="11"/>
  </w:num>
  <w:num w:numId="4">
    <w:abstractNumId w:val="15"/>
  </w:num>
  <w:num w:numId="5">
    <w:abstractNumId w:val="5"/>
  </w:num>
  <w:num w:numId="6">
    <w:abstractNumId w:val="14"/>
  </w:num>
  <w:num w:numId="7">
    <w:abstractNumId w:val="7"/>
  </w:num>
  <w:num w:numId="8">
    <w:abstractNumId w:val="6"/>
  </w:num>
  <w:num w:numId="9">
    <w:abstractNumId w:val="13"/>
  </w:num>
  <w:num w:numId="10">
    <w:abstractNumId w:val="8"/>
  </w:num>
  <w:num w:numId="11">
    <w:abstractNumId w:val="9"/>
  </w:num>
  <w:num w:numId="12">
    <w:abstractNumId w:val="16"/>
  </w:num>
  <w:num w:numId="13">
    <w:abstractNumId w:val="10"/>
  </w:num>
  <w:num w:numId="14">
    <w:abstractNumId w:val="1"/>
  </w:num>
  <w:num w:numId="15">
    <w:abstractNumId w:val="3"/>
  </w:num>
  <w:num w:numId="16">
    <w:abstractNumId w:val="4"/>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A87"/>
    <w:rsid w:val="000809F8"/>
    <w:rsid w:val="000F6A44"/>
    <w:rsid w:val="00101039"/>
    <w:rsid w:val="00106344"/>
    <w:rsid w:val="0013564F"/>
    <w:rsid w:val="001756FF"/>
    <w:rsid w:val="001868F5"/>
    <w:rsid w:val="001B2FF7"/>
    <w:rsid w:val="00203AF2"/>
    <w:rsid w:val="0022514D"/>
    <w:rsid w:val="0027385E"/>
    <w:rsid w:val="00293627"/>
    <w:rsid w:val="00342A87"/>
    <w:rsid w:val="00345890"/>
    <w:rsid w:val="00361509"/>
    <w:rsid w:val="00364649"/>
    <w:rsid w:val="00377465"/>
    <w:rsid w:val="00462C03"/>
    <w:rsid w:val="00476933"/>
    <w:rsid w:val="005F106E"/>
    <w:rsid w:val="00670B9F"/>
    <w:rsid w:val="00694308"/>
    <w:rsid w:val="006A4707"/>
    <w:rsid w:val="006B44E0"/>
    <w:rsid w:val="00772113"/>
    <w:rsid w:val="007A7DD9"/>
    <w:rsid w:val="007F1637"/>
    <w:rsid w:val="007F64E5"/>
    <w:rsid w:val="00844F1E"/>
    <w:rsid w:val="008670C0"/>
    <w:rsid w:val="008C187C"/>
    <w:rsid w:val="008D6BF2"/>
    <w:rsid w:val="008F04E5"/>
    <w:rsid w:val="008F3799"/>
    <w:rsid w:val="00952FD5"/>
    <w:rsid w:val="00970162"/>
    <w:rsid w:val="00970CCF"/>
    <w:rsid w:val="00980411"/>
    <w:rsid w:val="00AA6E02"/>
    <w:rsid w:val="00AD0D6C"/>
    <w:rsid w:val="00B267A1"/>
    <w:rsid w:val="00B32CC8"/>
    <w:rsid w:val="00B36892"/>
    <w:rsid w:val="00BD53A4"/>
    <w:rsid w:val="00C32E6E"/>
    <w:rsid w:val="00C836D8"/>
    <w:rsid w:val="00CF32D4"/>
    <w:rsid w:val="00D14852"/>
    <w:rsid w:val="00D54C8D"/>
    <w:rsid w:val="00D81796"/>
    <w:rsid w:val="00E01575"/>
    <w:rsid w:val="00E16B4D"/>
    <w:rsid w:val="00E35E54"/>
    <w:rsid w:val="00E42D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32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42A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2A87"/>
  </w:style>
  <w:style w:type="paragraph" w:styleId="Tekstdymka">
    <w:name w:val="Balloon Text"/>
    <w:basedOn w:val="Normalny"/>
    <w:link w:val="TekstdymkaZnak"/>
    <w:uiPriority w:val="99"/>
    <w:semiHidden/>
    <w:unhideWhenUsed/>
    <w:rsid w:val="00342A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2A87"/>
    <w:rPr>
      <w:rFonts w:ascii="Tahoma" w:hAnsi="Tahoma" w:cs="Tahoma"/>
      <w:sz w:val="16"/>
      <w:szCs w:val="16"/>
    </w:rPr>
  </w:style>
  <w:style w:type="paragraph" w:customStyle="1" w:styleId="Titreobjet">
    <w:name w:val="Titre objet"/>
    <w:basedOn w:val="Normalny"/>
    <w:next w:val="Normalny"/>
    <w:rsid w:val="00342A87"/>
    <w:pPr>
      <w:spacing w:before="360" w:after="360" w:line="240" w:lineRule="auto"/>
      <w:jc w:val="center"/>
    </w:pPr>
    <w:rPr>
      <w:rFonts w:ascii="Times New Roman" w:hAnsi="Times New Roman" w:cs="Times New Roman"/>
      <w:b/>
      <w:sz w:val="24"/>
    </w:rPr>
  </w:style>
  <w:style w:type="paragraph" w:customStyle="1" w:styleId="ManualConsidrant">
    <w:name w:val="Manual Considérant"/>
    <w:basedOn w:val="Normalny"/>
    <w:rsid w:val="00342A87"/>
    <w:pPr>
      <w:spacing w:before="120" w:after="120" w:line="240" w:lineRule="auto"/>
      <w:ind w:left="709" w:hanging="709"/>
      <w:jc w:val="both"/>
    </w:pPr>
    <w:rPr>
      <w:rFonts w:ascii="Times New Roman" w:hAnsi="Times New Roman" w:cs="Times New Roman"/>
      <w:sz w:val="24"/>
    </w:rPr>
  </w:style>
  <w:style w:type="paragraph" w:customStyle="1" w:styleId="Formuledadoption">
    <w:name w:val="Formule d'adoption"/>
    <w:basedOn w:val="Normalny"/>
    <w:next w:val="Normalny"/>
    <w:rsid w:val="00342A87"/>
    <w:pPr>
      <w:keepNext/>
      <w:spacing w:before="120" w:after="120" w:line="240" w:lineRule="auto"/>
      <w:jc w:val="both"/>
    </w:pPr>
    <w:rPr>
      <w:rFonts w:ascii="Times New Roman" w:hAnsi="Times New Roman" w:cs="Times New Roman"/>
      <w:sz w:val="24"/>
    </w:rPr>
  </w:style>
  <w:style w:type="paragraph" w:customStyle="1" w:styleId="ManualNumPar1">
    <w:name w:val="Manual NumPar 1"/>
    <w:basedOn w:val="Normalny"/>
    <w:next w:val="Normalny"/>
    <w:rsid w:val="00342A87"/>
    <w:pPr>
      <w:spacing w:before="120" w:after="120" w:line="240" w:lineRule="auto"/>
      <w:ind w:left="850" w:hanging="850"/>
      <w:jc w:val="both"/>
    </w:pPr>
    <w:rPr>
      <w:rFonts w:ascii="Times New Roman" w:hAnsi="Times New Roman" w:cs="Times New Roman"/>
      <w:sz w:val="24"/>
    </w:rPr>
  </w:style>
  <w:style w:type="paragraph" w:styleId="Akapitzlist">
    <w:name w:val="List Paragraph"/>
    <w:basedOn w:val="Normalny"/>
    <w:link w:val="AkapitzlistZnak"/>
    <w:uiPriority w:val="34"/>
    <w:qFormat/>
    <w:rsid w:val="00342A87"/>
    <w:pPr>
      <w:ind w:left="720"/>
      <w:contextualSpacing/>
    </w:pPr>
  </w:style>
  <w:style w:type="character" w:styleId="Hipercze">
    <w:name w:val="Hyperlink"/>
    <w:unhideWhenUsed/>
    <w:rsid w:val="008670C0"/>
    <w:rPr>
      <w:color w:val="0000FF"/>
      <w:u w:val="single"/>
    </w:rPr>
  </w:style>
  <w:style w:type="character" w:customStyle="1" w:styleId="AkapitzlistZnak">
    <w:name w:val="Akapit z listą Znak"/>
    <w:link w:val="Akapitzlist"/>
    <w:uiPriority w:val="34"/>
    <w:rsid w:val="000809F8"/>
  </w:style>
  <w:style w:type="paragraph" w:styleId="Nagwek">
    <w:name w:val="header"/>
    <w:basedOn w:val="Normalny"/>
    <w:link w:val="NagwekZnak"/>
    <w:uiPriority w:val="99"/>
    <w:unhideWhenUsed/>
    <w:rsid w:val="000809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09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32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42A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2A87"/>
  </w:style>
  <w:style w:type="paragraph" w:styleId="Tekstdymka">
    <w:name w:val="Balloon Text"/>
    <w:basedOn w:val="Normalny"/>
    <w:link w:val="TekstdymkaZnak"/>
    <w:uiPriority w:val="99"/>
    <w:semiHidden/>
    <w:unhideWhenUsed/>
    <w:rsid w:val="00342A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2A87"/>
    <w:rPr>
      <w:rFonts w:ascii="Tahoma" w:hAnsi="Tahoma" w:cs="Tahoma"/>
      <w:sz w:val="16"/>
      <w:szCs w:val="16"/>
    </w:rPr>
  </w:style>
  <w:style w:type="paragraph" w:customStyle="1" w:styleId="Titreobjet">
    <w:name w:val="Titre objet"/>
    <w:basedOn w:val="Normalny"/>
    <w:next w:val="Normalny"/>
    <w:rsid w:val="00342A87"/>
    <w:pPr>
      <w:spacing w:before="360" w:after="360" w:line="240" w:lineRule="auto"/>
      <w:jc w:val="center"/>
    </w:pPr>
    <w:rPr>
      <w:rFonts w:ascii="Times New Roman" w:hAnsi="Times New Roman" w:cs="Times New Roman"/>
      <w:b/>
      <w:sz w:val="24"/>
    </w:rPr>
  </w:style>
  <w:style w:type="paragraph" w:customStyle="1" w:styleId="ManualConsidrant">
    <w:name w:val="Manual Considérant"/>
    <w:basedOn w:val="Normalny"/>
    <w:rsid w:val="00342A87"/>
    <w:pPr>
      <w:spacing w:before="120" w:after="120" w:line="240" w:lineRule="auto"/>
      <w:ind w:left="709" w:hanging="709"/>
      <w:jc w:val="both"/>
    </w:pPr>
    <w:rPr>
      <w:rFonts w:ascii="Times New Roman" w:hAnsi="Times New Roman" w:cs="Times New Roman"/>
      <w:sz w:val="24"/>
    </w:rPr>
  </w:style>
  <w:style w:type="paragraph" w:customStyle="1" w:styleId="Formuledadoption">
    <w:name w:val="Formule d'adoption"/>
    <w:basedOn w:val="Normalny"/>
    <w:next w:val="Normalny"/>
    <w:rsid w:val="00342A87"/>
    <w:pPr>
      <w:keepNext/>
      <w:spacing w:before="120" w:after="120" w:line="240" w:lineRule="auto"/>
      <w:jc w:val="both"/>
    </w:pPr>
    <w:rPr>
      <w:rFonts w:ascii="Times New Roman" w:hAnsi="Times New Roman" w:cs="Times New Roman"/>
      <w:sz w:val="24"/>
    </w:rPr>
  </w:style>
  <w:style w:type="paragraph" w:customStyle="1" w:styleId="ManualNumPar1">
    <w:name w:val="Manual NumPar 1"/>
    <w:basedOn w:val="Normalny"/>
    <w:next w:val="Normalny"/>
    <w:rsid w:val="00342A87"/>
    <w:pPr>
      <w:spacing w:before="120" w:after="120" w:line="240" w:lineRule="auto"/>
      <w:ind w:left="850" w:hanging="850"/>
      <w:jc w:val="both"/>
    </w:pPr>
    <w:rPr>
      <w:rFonts w:ascii="Times New Roman" w:hAnsi="Times New Roman" w:cs="Times New Roman"/>
      <w:sz w:val="24"/>
    </w:rPr>
  </w:style>
  <w:style w:type="paragraph" w:styleId="Akapitzlist">
    <w:name w:val="List Paragraph"/>
    <w:basedOn w:val="Normalny"/>
    <w:link w:val="AkapitzlistZnak"/>
    <w:uiPriority w:val="34"/>
    <w:qFormat/>
    <w:rsid w:val="00342A87"/>
    <w:pPr>
      <w:ind w:left="720"/>
      <w:contextualSpacing/>
    </w:pPr>
  </w:style>
  <w:style w:type="character" w:styleId="Hipercze">
    <w:name w:val="Hyperlink"/>
    <w:unhideWhenUsed/>
    <w:rsid w:val="008670C0"/>
    <w:rPr>
      <w:color w:val="0000FF"/>
      <w:u w:val="single"/>
    </w:rPr>
  </w:style>
  <w:style w:type="character" w:customStyle="1" w:styleId="AkapitzlistZnak">
    <w:name w:val="Akapit z listą Znak"/>
    <w:link w:val="Akapitzlist"/>
    <w:uiPriority w:val="34"/>
    <w:rsid w:val="000809F8"/>
  </w:style>
  <w:style w:type="paragraph" w:styleId="Nagwek">
    <w:name w:val="header"/>
    <w:basedOn w:val="Normalny"/>
    <w:link w:val="NagwekZnak"/>
    <w:uiPriority w:val="99"/>
    <w:unhideWhenUsed/>
    <w:rsid w:val="000809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0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13681">
      <w:bodyDiv w:val="1"/>
      <w:marLeft w:val="0"/>
      <w:marRight w:val="0"/>
      <w:marTop w:val="0"/>
      <w:marBottom w:val="0"/>
      <w:divBdr>
        <w:top w:val="none" w:sz="0" w:space="0" w:color="auto"/>
        <w:left w:val="none" w:sz="0" w:space="0" w:color="auto"/>
        <w:bottom w:val="none" w:sz="0" w:space="0" w:color="auto"/>
        <w:right w:val="none" w:sz="0" w:space="0" w:color="auto"/>
      </w:divBdr>
    </w:div>
    <w:div w:id="484005309">
      <w:bodyDiv w:val="1"/>
      <w:marLeft w:val="0"/>
      <w:marRight w:val="0"/>
      <w:marTop w:val="0"/>
      <w:marBottom w:val="0"/>
      <w:divBdr>
        <w:top w:val="none" w:sz="0" w:space="0" w:color="auto"/>
        <w:left w:val="none" w:sz="0" w:space="0" w:color="auto"/>
        <w:bottom w:val="none" w:sz="0" w:space="0" w:color="auto"/>
        <w:right w:val="none" w:sz="0" w:space="0" w:color="auto"/>
      </w:divBdr>
    </w:div>
    <w:div w:id="834687486">
      <w:bodyDiv w:val="1"/>
      <w:marLeft w:val="0"/>
      <w:marRight w:val="0"/>
      <w:marTop w:val="0"/>
      <w:marBottom w:val="0"/>
      <w:divBdr>
        <w:top w:val="none" w:sz="0" w:space="0" w:color="auto"/>
        <w:left w:val="none" w:sz="0" w:space="0" w:color="auto"/>
        <w:bottom w:val="none" w:sz="0" w:space="0" w:color="auto"/>
        <w:right w:val="none" w:sz="0" w:space="0" w:color="auto"/>
      </w:divBdr>
    </w:div>
    <w:div w:id="940605331">
      <w:bodyDiv w:val="1"/>
      <w:marLeft w:val="0"/>
      <w:marRight w:val="0"/>
      <w:marTop w:val="0"/>
      <w:marBottom w:val="0"/>
      <w:divBdr>
        <w:top w:val="none" w:sz="0" w:space="0" w:color="auto"/>
        <w:left w:val="none" w:sz="0" w:space="0" w:color="auto"/>
        <w:bottom w:val="none" w:sz="0" w:space="0" w:color="auto"/>
        <w:right w:val="none" w:sz="0" w:space="0" w:color="auto"/>
      </w:divBdr>
    </w:div>
    <w:div w:id="1344432217">
      <w:bodyDiv w:val="1"/>
      <w:marLeft w:val="0"/>
      <w:marRight w:val="0"/>
      <w:marTop w:val="0"/>
      <w:marBottom w:val="0"/>
      <w:divBdr>
        <w:top w:val="none" w:sz="0" w:space="0" w:color="auto"/>
        <w:left w:val="none" w:sz="0" w:space="0" w:color="auto"/>
        <w:bottom w:val="none" w:sz="0" w:space="0" w:color="auto"/>
        <w:right w:val="none" w:sz="0" w:space="0" w:color="auto"/>
      </w:divBdr>
    </w:div>
    <w:div w:id="1346401606">
      <w:bodyDiv w:val="1"/>
      <w:marLeft w:val="0"/>
      <w:marRight w:val="0"/>
      <w:marTop w:val="0"/>
      <w:marBottom w:val="0"/>
      <w:divBdr>
        <w:top w:val="none" w:sz="0" w:space="0" w:color="auto"/>
        <w:left w:val="none" w:sz="0" w:space="0" w:color="auto"/>
        <w:bottom w:val="none" w:sz="0" w:space="0" w:color="auto"/>
        <w:right w:val="none" w:sz="0" w:space="0" w:color="auto"/>
      </w:divBdr>
    </w:div>
    <w:div w:id="1852598023">
      <w:bodyDiv w:val="1"/>
      <w:marLeft w:val="0"/>
      <w:marRight w:val="0"/>
      <w:marTop w:val="0"/>
      <w:marBottom w:val="0"/>
      <w:divBdr>
        <w:top w:val="none" w:sz="0" w:space="0" w:color="auto"/>
        <w:left w:val="none" w:sz="0" w:space="0" w:color="auto"/>
        <w:bottom w:val="none" w:sz="0" w:space="0" w:color="auto"/>
        <w:right w:val="none" w:sz="0" w:space="0" w:color="auto"/>
      </w:divBdr>
    </w:div>
    <w:div w:id="185896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cc.org.pl/Gospodarczy-Gabinet-Cieni.4241.0.html" TargetMode="External"/><Relationship Id="rId5" Type="http://schemas.openxmlformats.org/officeDocument/2006/relationships/webSettings" Target="webSettings.xml"/><Relationship Id="rId10" Type="http://schemas.openxmlformats.org/officeDocument/2006/relationships/hyperlink" Target="mailto:emil.mucinski@bcc.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766</Words>
  <Characters>4602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Muciński</dc:creator>
  <cp:lastModifiedBy>Muciński Emil</cp:lastModifiedBy>
  <cp:revision>3</cp:revision>
  <cp:lastPrinted>2021-07-06T07:28:00Z</cp:lastPrinted>
  <dcterms:created xsi:type="dcterms:W3CDTF">2021-07-06T07:17:00Z</dcterms:created>
  <dcterms:modified xsi:type="dcterms:W3CDTF">2021-07-06T07:28:00Z</dcterms:modified>
</cp:coreProperties>
</file>