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sz w:val="2"/>
          <w:szCs w:val="2"/>
        </w:rPr>
      </w:pPr>
      <w:bookmarkStart w:id="0" w:name="_GoBack"/>
      <w:bookmarkEnd w:id="0"/>
      <w:r w:rsidRPr="00342A87">
        <w:rPr>
          <w:rFonts w:ascii="Calibri" w:eastAsia="Calibri" w:hAnsi="Calibri" w:cs="Times New Roman"/>
          <w:noProof/>
          <w:sz w:val="2"/>
          <w:szCs w:val="2"/>
          <w:lang w:eastAsia="pl-PL"/>
        </w:rPr>
        <w:drawing>
          <wp:inline distT="0" distB="0" distL="0" distR="0" wp14:anchorId="339A9F9B" wp14:editId="4DE9CB62">
            <wp:extent cx="2238375" cy="1857375"/>
            <wp:effectExtent l="0" t="0" r="9525" b="0"/>
            <wp:docPr id="1" name="Obraz 1" descr="0c428292-28c0-4f74-b347-08cf9b51f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428292-28c0-4f74-b347-08cf9b51f9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0"/>
        </w:rPr>
      </w:pPr>
    </w:p>
    <w:p w:rsidR="00342A87" w:rsidRPr="00342A87" w:rsidRDefault="00342A87" w:rsidP="00342A87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Times New Roman"/>
          <w:sz w:val="18"/>
          <w:szCs w:val="20"/>
          <w:lang w:val="x-none" w:eastAsia="x-none"/>
        </w:rPr>
      </w:pP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 xml:space="preserve">Warszawa, </w:t>
      </w:r>
      <w:r w:rsidR="009B4DC6">
        <w:rPr>
          <w:rFonts w:ascii="Arial" w:eastAsia="Times New Roman" w:hAnsi="Arial" w:cs="Times New Roman"/>
          <w:sz w:val="18"/>
          <w:szCs w:val="20"/>
          <w:lang w:eastAsia="x-none"/>
        </w:rPr>
        <w:t xml:space="preserve">7 </w:t>
      </w:r>
      <w:r w:rsidR="005A7CB1">
        <w:rPr>
          <w:rFonts w:ascii="Arial" w:eastAsia="Times New Roman" w:hAnsi="Arial" w:cs="Times New Roman"/>
          <w:sz w:val="18"/>
          <w:szCs w:val="20"/>
          <w:lang w:eastAsia="x-none"/>
        </w:rPr>
        <w:t>lipca</w:t>
      </w:r>
      <w:r w:rsidRPr="00342A87">
        <w:rPr>
          <w:rFonts w:ascii="Arial" w:eastAsia="Times New Roman" w:hAnsi="Arial" w:cs="Times New Roman"/>
          <w:sz w:val="18"/>
          <w:szCs w:val="20"/>
          <w:lang w:eastAsia="x-none"/>
        </w:rPr>
        <w:t xml:space="preserve"> 2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>0</w:t>
      </w:r>
      <w:r w:rsidR="009B4DC6">
        <w:rPr>
          <w:rFonts w:ascii="Arial" w:eastAsia="Times New Roman" w:hAnsi="Arial" w:cs="Times New Roman"/>
          <w:sz w:val="18"/>
          <w:szCs w:val="20"/>
          <w:lang w:eastAsia="x-none"/>
        </w:rPr>
        <w:t>21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 xml:space="preserve"> r.</w:t>
      </w:r>
    </w:p>
    <w:p w:rsidR="00342A87" w:rsidRPr="008670C0" w:rsidRDefault="00342A87" w:rsidP="00342A8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val="x-none" w:eastAsia="x-none"/>
        </w:rPr>
      </w:pPr>
      <w:r w:rsidRPr="008670C0"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eastAsia="x-none"/>
        </w:rPr>
        <w:t xml:space="preserve">RAPORT: </w:t>
      </w:r>
      <w:r w:rsidR="008670C0" w:rsidRPr="008670C0">
        <w:rPr>
          <w:rFonts w:ascii="Times New Roman" w:eastAsia="Times New Roman" w:hAnsi="Times New Roman" w:cs="Times New Roman"/>
          <w:b/>
          <w:bCs/>
          <w:smallCaps/>
          <w:color w:val="003366"/>
          <w:sz w:val="44"/>
          <w:szCs w:val="48"/>
          <w:lang w:eastAsia="x-none"/>
        </w:rPr>
        <w:t>Infrastruktura i Budownictwo</w:t>
      </w:r>
    </w:p>
    <w:p w:rsidR="00342A87" w:rsidRPr="00342A87" w:rsidRDefault="00342A87" w:rsidP="00342A87">
      <w:pPr>
        <w:spacing w:after="0" w:line="240" w:lineRule="auto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8670C0" w:rsidRDefault="008670C0" w:rsidP="008670C0">
      <w:pPr>
        <w:spacing w:after="0" w:line="240" w:lineRule="auto"/>
        <w:jc w:val="both"/>
        <w:rPr>
          <w:b/>
          <w:sz w:val="28"/>
          <w:szCs w:val="28"/>
        </w:rPr>
      </w:pPr>
    </w:p>
    <w:p w:rsidR="00F25422" w:rsidRPr="001F0603" w:rsidRDefault="00F25422" w:rsidP="008670C0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8172"/>
      </w:tblGrid>
      <w:tr w:rsidR="008670C0" w:rsidRPr="00F21FC5" w:rsidTr="00BB210D">
        <w:tc>
          <w:tcPr>
            <w:tcW w:w="900" w:type="dxa"/>
          </w:tcPr>
          <w:p w:rsidR="008670C0" w:rsidRPr="00F21FC5" w:rsidRDefault="00CC3A91" w:rsidP="00BB210D">
            <w:pPr>
              <w:spacing w:after="0" w:line="240" w:lineRule="auto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rFonts w:ascii="Bookman Old Style" w:hAnsi="Bookman Old Style"/>
                <w:noProof/>
                <w:sz w:val="14"/>
                <w:szCs w:val="14"/>
                <w:lang w:eastAsia="pl-PL"/>
              </w:rPr>
              <w:drawing>
                <wp:inline distT="0" distB="0" distL="0" distR="0">
                  <wp:extent cx="497178" cy="747422"/>
                  <wp:effectExtent l="0" t="0" r="0" b="0"/>
                  <wp:docPr id="2" name="Obraz 2" descr="C:\Users\emil.mucinski\Documents\BCC\ZDJECIA\EKSPERCI BCC\Bernatowicz Łukas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.mucinski\Documents\BCC\ZDJECIA\EKSPERCI BCC\Bernatowicz Łukas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78" cy="74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:rsidR="008670C0" w:rsidRPr="002A64B9" w:rsidRDefault="008670C0" w:rsidP="00BB210D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A64B9">
              <w:rPr>
                <w:rFonts w:ascii="Bookman Old Style" w:hAnsi="Bookman Old Style"/>
                <w:b/>
                <w:sz w:val="16"/>
                <w:szCs w:val="16"/>
              </w:rPr>
              <w:t>DR ŁUKASZ BERNATOWICZ</w:t>
            </w:r>
          </w:p>
          <w:p w:rsidR="008670C0" w:rsidRPr="002A64B9" w:rsidRDefault="008670C0" w:rsidP="00BB210D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2A64B9">
              <w:rPr>
                <w:rFonts w:ascii="Bookman Old Style" w:hAnsi="Bookman Old Style"/>
                <w:b/>
                <w:sz w:val="16"/>
                <w:szCs w:val="16"/>
              </w:rPr>
              <w:t>minister infrastruktury</w:t>
            </w:r>
          </w:p>
          <w:p w:rsidR="008670C0" w:rsidRPr="00F46CAF" w:rsidRDefault="008670C0" w:rsidP="00BB210D">
            <w:pPr>
              <w:spacing w:after="0" w:line="240" w:lineRule="auto"/>
              <w:jc w:val="both"/>
              <w:textAlignment w:val="baseline"/>
              <w:rPr>
                <w:rFonts w:ascii="Bookman Old Style" w:hAnsi="Bookman Old Style" w:cs="Arial"/>
                <w:i/>
                <w:sz w:val="14"/>
                <w:szCs w:val="14"/>
                <w:lang w:eastAsia="pl-PL"/>
              </w:rPr>
            </w:pPr>
            <w:r w:rsidRPr="00F46CAF">
              <w:rPr>
                <w:rFonts w:ascii="Bookman Old Style" w:hAnsi="Bookman Old Style" w:cs="Arial"/>
                <w:i/>
                <w:sz w:val="14"/>
                <w:szCs w:val="14"/>
                <w:lang w:eastAsia="pl-PL"/>
              </w:rPr>
              <w:t>Dr nauk prawnych, radca prawny z wieloletnim doświadczeniem w zakresie prawa cywilnego i handlowego, ze szczególnym uwzględnieniem transakcji związanych z nabywaniem nieruchomości i finansowaniem ich nabycia, fuzjami oraz przejęciem spółek. Arbiter w Sądzie Arbitrażowym przy Krajowej Izbie Gospodarczej w Warszawie z zakresu prawa spółek, prawa finansowego, prawa budowlanego, projektów infrastrukturalnych, szeroko pojętych umów handlowych oraz prawa nieruchomości.</w:t>
            </w:r>
          </w:p>
          <w:p w:rsidR="008670C0" w:rsidRPr="00D15E4A" w:rsidRDefault="008670C0" w:rsidP="00BB210D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4"/>
                <w:szCs w:val="14"/>
              </w:rPr>
            </w:pPr>
            <w:r w:rsidRPr="00D15E4A">
              <w:rPr>
                <w:rFonts w:ascii="Bookman Old Style" w:hAnsi="Bookman Old Style"/>
                <w:b/>
                <w:sz w:val="14"/>
                <w:szCs w:val="14"/>
              </w:rPr>
              <w:sym w:font="Wingdings 2" w:char="F027"/>
            </w:r>
            <w:r w:rsidRPr="00D15E4A">
              <w:rPr>
                <w:rFonts w:ascii="Bookman Old Style" w:hAnsi="Bookman Old Style"/>
                <w:b/>
                <w:sz w:val="14"/>
                <w:szCs w:val="14"/>
              </w:rPr>
              <w:t xml:space="preserve"> </w:t>
            </w:r>
            <w:hyperlink r:id="rId10" w:history="1">
              <w:r w:rsidRPr="0008273D">
                <w:rPr>
                  <w:rStyle w:val="Hipercze"/>
                  <w:rFonts w:ascii="Bookman Old Style" w:hAnsi="Bookman Old Style"/>
                  <w:b/>
                  <w:sz w:val="14"/>
                  <w:szCs w:val="14"/>
                </w:rPr>
                <w:t>502 066 619</w:t>
              </w:r>
            </w:hyperlink>
            <w:r w:rsidRPr="00D15E4A">
              <w:rPr>
                <w:rFonts w:ascii="Bookman Old Style" w:hAnsi="Bookman Old Style"/>
                <w:b/>
                <w:sz w:val="14"/>
                <w:szCs w:val="14"/>
              </w:rPr>
              <w:t xml:space="preserve"> </w:t>
            </w:r>
            <w:r w:rsidRPr="00D15E4A">
              <w:rPr>
                <w:rFonts w:ascii="Bookman Old Style" w:hAnsi="Bookman Old Style"/>
                <w:b/>
                <w:sz w:val="14"/>
                <w:szCs w:val="14"/>
              </w:rPr>
              <w:sym w:font="Wingdings" w:char="F02A"/>
            </w:r>
            <w:r w:rsidRPr="00D15E4A">
              <w:rPr>
                <w:rFonts w:ascii="Bookman Old Style" w:hAnsi="Bookman Old Style"/>
                <w:b/>
                <w:sz w:val="14"/>
                <w:szCs w:val="14"/>
              </w:rPr>
              <w:t> lukasz.bernatowicz@bcc.org.pl</w:t>
            </w:r>
          </w:p>
          <w:p w:rsidR="008670C0" w:rsidRDefault="008670C0" w:rsidP="00BB210D">
            <w:pPr>
              <w:spacing w:after="0" w:line="240" w:lineRule="auto"/>
              <w:textAlignment w:val="baseline"/>
              <w:rPr>
                <w:rFonts w:ascii="Bookman Old Style" w:hAnsi="Bookman Old Style"/>
                <w:sz w:val="14"/>
                <w:szCs w:val="14"/>
              </w:rPr>
            </w:pPr>
          </w:p>
          <w:p w:rsidR="008670C0" w:rsidRPr="002A64B9" w:rsidRDefault="008670C0" w:rsidP="00BB210D">
            <w:pPr>
              <w:spacing w:after="0" w:line="240" w:lineRule="auto"/>
              <w:textAlignment w:val="baseline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:rsidR="00F25422" w:rsidRDefault="00F25422" w:rsidP="009B4DC6">
      <w:pPr>
        <w:spacing w:after="0" w:line="100" w:lineRule="atLeast"/>
        <w:rPr>
          <w:rFonts w:ascii="Calibri" w:eastAsia="Calibri" w:hAnsi="Calibri" w:cs="Times New Roman"/>
          <w:b/>
          <w:bCs/>
          <w:sz w:val="24"/>
        </w:rPr>
      </w:pPr>
    </w:p>
    <w:p w:rsidR="00293627" w:rsidRPr="00367D72" w:rsidRDefault="009B4DC6" w:rsidP="009B4DC6">
      <w:pPr>
        <w:spacing w:after="0" w:line="100" w:lineRule="atLeast"/>
        <w:rPr>
          <w:rFonts w:ascii="Arial" w:eastAsia="Calibri" w:hAnsi="Arial" w:cs="Arial"/>
          <w:b/>
          <w:bCs/>
          <w:sz w:val="20"/>
        </w:rPr>
      </w:pPr>
      <w:r w:rsidRPr="00367D72">
        <w:rPr>
          <w:rFonts w:ascii="Arial" w:eastAsia="Calibri" w:hAnsi="Arial" w:cs="Arial"/>
          <w:b/>
          <w:bCs/>
          <w:sz w:val="20"/>
        </w:rPr>
        <w:t>WSKAZANIA DLA RZĄDU</w:t>
      </w:r>
    </w:p>
    <w:p w:rsidR="009B4DC6" w:rsidRDefault="009B4DC6" w:rsidP="00342A87">
      <w:pPr>
        <w:spacing w:after="0" w:line="100" w:lineRule="atLeast"/>
        <w:jc w:val="both"/>
        <w:rPr>
          <w:rFonts w:ascii="Calibri" w:eastAsia="Calibri" w:hAnsi="Calibri" w:cs="Times New Roman"/>
          <w:b/>
          <w:bCs/>
          <w:sz w:val="24"/>
        </w:rPr>
      </w:pPr>
    </w:p>
    <w:p w:rsidR="005A7CB1" w:rsidRDefault="005A7CB1" w:rsidP="005A7CB1">
      <w:pPr>
        <w:pStyle w:val="Akapitzlist"/>
        <w:numPr>
          <w:ilvl w:val="0"/>
          <w:numId w:val="18"/>
        </w:numPr>
        <w:spacing w:after="0" w:line="100" w:lineRule="atLeast"/>
        <w:rPr>
          <w:rFonts w:ascii="Arial" w:eastAsia="Calibri" w:hAnsi="Arial" w:cs="Arial"/>
          <w:bCs/>
          <w:sz w:val="18"/>
        </w:rPr>
      </w:pPr>
      <w:r w:rsidRPr="005A7CB1">
        <w:rPr>
          <w:rFonts w:ascii="Arial" w:eastAsia="Calibri" w:hAnsi="Arial" w:cs="Arial"/>
          <w:bCs/>
          <w:sz w:val="18"/>
        </w:rPr>
        <w:t>Drastyczny wzrost cen na budowach – konieczna walka z inflacją.</w:t>
      </w:r>
    </w:p>
    <w:p w:rsidR="005A7CB1" w:rsidRPr="005A7CB1" w:rsidRDefault="005A7CB1" w:rsidP="005A7CB1">
      <w:pPr>
        <w:pStyle w:val="Akapitzlist"/>
        <w:spacing w:after="0" w:line="100" w:lineRule="atLeast"/>
        <w:rPr>
          <w:rFonts w:ascii="Arial" w:eastAsia="Calibri" w:hAnsi="Arial" w:cs="Arial"/>
          <w:bCs/>
          <w:sz w:val="18"/>
        </w:rPr>
      </w:pPr>
    </w:p>
    <w:p w:rsidR="005A7CB1" w:rsidRPr="005A7CB1" w:rsidRDefault="005A7CB1" w:rsidP="005A7CB1">
      <w:pPr>
        <w:pStyle w:val="Akapitzlist"/>
        <w:numPr>
          <w:ilvl w:val="0"/>
          <w:numId w:val="18"/>
        </w:numPr>
        <w:spacing w:after="0" w:line="100" w:lineRule="atLeast"/>
        <w:rPr>
          <w:rFonts w:ascii="Arial" w:eastAsia="Calibri" w:hAnsi="Arial" w:cs="Arial"/>
          <w:b/>
          <w:bCs/>
          <w:sz w:val="18"/>
        </w:rPr>
      </w:pPr>
      <w:r w:rsidRPr="005A7CB1">
        <w:rPr>
          <w:rFonts w:ascii="Arial" w:eastAsia="Calibri" w:hAnsi="Arial" w:cs="Arial"/>
          <w:bCs/>
          <w:sz w:val="18"/>
        </w:rPr>
        <w:t>Uregulowanie problem</w:t>
      </w:r>
      <w:r>
        <w:rPr>
          <w:rFonts w:ascii="Arial" w:eastAsia="Calibri" w:hAnsi="Arial" w:cs="Arial"/>
          <w:bCs/>
          <w:sz w:val="18"/>
        </w:rPr>
        <w:t>u</w:t>
      </w:r>
      <w:r w:rsidRPr="005A7CB1">
        <w:rPr>
          <w:rFonts w:ascii="Arial" w:eastAsia="Calibri" w:hAnsi="Arial" w:cs="Arial"/>
          <w:bCs/>
          <w:sz w:val="18"/>
        </w:rPr>
        <w:t xml:space="preserve"> specustaw budowlanych, kwestionowanych przez K</w:t>
      </w:r>
      <w:r>
        <w:rPr>
          <w:rFonts w:ascii="Arial" w:eastAsia="Calibri" w:hAnsi="Arial" w:cs="Arial"/>
          <w:bCs/>
          <w:sz w:val="18"/>
        </w:rPr>
        <w:t xml:space="preserve">omisję </w:t>
      </w:r>
      <w:r w:rsidRPr="005A7CB1">
        <w:rPr>
          <w:rFonts w:ascii="Arial" w:eastAsia="Calibri" w:hAnsi="Arial" w:cs="Arial"/>
          <w:bCs/>
          <w:sz w:val="18"/>
        </w:rPr>
        <w:t>E</w:t>
      </w:r>
      <w:r>
        <w:rPr>
          <w:rFonts w:ascii="Arial" w:eastAsia="Calibri" w:hAnsi="Arial" w:cs="Arial"/>
          <w:bCs/>
          <w:sz w:val="18"/>
        </w:rPr>
        <w:t>uropejską</w:t>
      </w:r>
    </w:p>
    <w:p w:rsidR="005A7CB1" w:rsidRPr="005A7CB1" w:rsidRDefault="005A7CB1" w:rsidP="005A7CB1">
      <w:pPr>
        <w:pStyle w:val="Akapitzlist"/>
        <w:rPr>
          <w:rFonts w:ascii="Arial" w:eastAsia="Calibri" w:hAnsi="Arial" w:cs="Arial"/>
          <w:bCs/>
          <w:sz w:val="18"/>
        </w:rPr>
      </w:pPr>
    </w:p>
    <w:p w:rsidR="00C26010" w:rsidRDefault="00C26010" w:rsidP="009B4DC6">
      <w:pPr>
        <w:spacing w:after="0" w:line="100" w:lineRule="atLeast"/>
        <w:rPr>
          <w:b/>
        </w:rPr>
      </w:pPr>
    </w:p>
    <w:p w:rsidR="009B4DC6" w:rsidRDefault="009B4DC6" w:rsidP="009B4DC6">
      <w:pPr>
        <w:spacing w:after="0" w:line="100" w:lineRule="atLeast"/>
        <w:rPr>
          <w:rFonts w:ascii="Arial" w:eastAsia="Calibri" w:hAnsi="Arial" w:cs="Arial"/>
          <w:b/>
          <w:bCs/>
          <w:sz w:val="18"/>
        </w:rPr>
      </w:pPr>
      <w:r w:rsidRPr="00FA53AC">
        <w:rPr>
          <w:b/>
        </w:rPr>
        <w:t xml:space="preserve">PODSUMOWANIE </w:t>
      </w:r>
      <w:r w:rsidR="006733A5" w:rsidRPr="00FA53AC">
        <w:rPr>
          <w:b/>
        </w:rPr>
        <w:t>DOTYCHCZASOWYCH DZIAŁAŃ RZĄDU</w:t>
      </w:r>
    </w:p>
    <w:p w:rsidR="005A7CB1" w:rsidRPr="005A7CB1" w:rsidRDefault="005A7CB1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</w:p>
    <w:p w:rsidR="005A7CB1" w:rsidRPr="00C26010" w:rsidRDefault="005A7CB1" w:rsidP="00C26010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26010">
        <w:rPr>
          <w:rFonts w:ascii="Arial" w:eastAsia="Calibri" w:hAnsi="Arial" w:cs="Arial"/>
          <w:b/>
          <w:sz w:val="18"/>
          <w:szCs w:val="18"/>
        </w:rPr>
        <w:t xml:space="preserve">Deweloperski Fundusz Gwarancyjny – udało się ograniczyć wysokość nowego podatku. </w:t>
      </w:r>
    </w:p>
    <w:p w:rsidR="005A7CB1" w:rsidRPr="005A7CB1" w:rsidRDefault="005A7CB1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</w:p>
    <w:p w:rsidR="005A7CB1" w:rsidRPr="005A7CB1" w:rsidRDefault="005A7CB1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  <w:r w:rsidRPr="005A7CB1">
        <w:rPr>
          <w:rFonts w:ascii="Arial" w:eastAsia="Calibri" w:hAnsi="Arial" w:cs="Arial"/>
          <w:sz w:val="18"/>
          <w:szCs w:val="18"/>
        </w:rPr>
        <w:t>Dzięki interwencji B</w:t>
      </w:r>
      <w:r w:rsidR="00C26010">
        <w:rPr>
          <w:rFonts w:ascii="Arial" w:eastAsia="Calibri" w:hAnsi="Arial" w:cs="Arial"/>
          <w:sz w:val="18"/>
          <w:szCs w:val="18"/>
        </w:rPr>
        <w:t xml:space="preserve">usiness </w:t>
      </w:r>
      <w:r w:rsidRPr="005A7CB1">
        <w:rPr>
          <w:rFonts w:ascii="Arial" w:eastAsia="Calibri" w:hAnsi="Arial" w:cs="Arial"/>
          <w:sz w:val="18"/>
          <w:szCs w:val="18"/>
        </w:rPr>
        <w:t>C</w:t>
      </w:r>
      <w:r w:rsidR="00C26010">
        <w:rPr>
          <w:rFonts w:ascii="Arial" w:eastAsia="Calibri" w:hAnsi="Arial" w:cs="Arial"/>
          <w:sz w:val="18"/>
          <w:szCs w:val="18"/>
        </w:rPr>
        <w:t xml:space="preserve">entre </w:t>
      </w:r>
      <w:r w:rsidRPr="005A7CB1">
        <w:rPr>
          <w:rFonts w:ascii="Arial" w:eastAsia="Calibri" w:hAnsi="Arial" w:cs="Arial"/>
          <w:sz w:val="18"/>
          <w:szCs w:val="18"/>
        </w:rPr>
        <w:t>C</w:t>
      </w:r>
      <w:r w:rsidR="00C26010">
        <w:rPr>
          <w:rFonts w:ascii="Arial" w:eastAsia="Calibri" w:hAnsi="Arial" w:cs="Arial"/>
          <w:sz w:val="18"/>
          <w:szCs w:val="18"/>
        </w:rPr>
        <w:t>lub</w:t>
      </w:r>
      <w:r w:rsidRPr="005A7CB1">
        <w:rPr>
          <w:rFonts w:ascii="Arial" w:eastAsia="Calibri" w:hAnsi="Arial" w:cs="Arial"/>
          <w:sz w:val="18"/>
          <w:szCs w:val="18"/>
        </w:rPr>
        <w:t xml:space="preserve">, przy współpracy z </w:t>
      </w:r>
      <w:r w:rsidR="00C26010" w:rsidRPr="00C26010">
        <w:rPr>
          <w:rFonts w:ascii="Arial" w:eastAsia="Calibri" w:hAnsi="Arial" w:cs="Arial"/>
          <w:sz w:val="18"/>
          <w:szCs w:val="18"/>
        </w:rPr>
        <w:t>Polski</w:t>
      </w:r>
      <w:r w:rsidR="00C26010">
        <w:rPr>
          <w:rFonts w:ascii="Arial" w:eastAsia="Calibri" w:hAnsi="Arial" w:cs="Arial"/>
          <w:sz w:val="18"/>
          <w:szCs w:val="18"/>
        </w:rPr>
        <w:t>m</w:t>
      </w:r>
      <w:r w:rsidR="00C26010" w:rsidRPr="00C26010">
        <w:rPr>
          <w:rFonts w:ascii="Arial" w:eastAsia="Calibri" w:hAnsi="Arial" w:cs="Arial"/>
          <w:sz w:val="18"/>
          <w:szCs w:val="18"/>
        </w:rPr>
        <w:t xml:space="preserve"> Związk</w:t>
      </w:r>
      <w:r w:rsidR="00C26010">
        <w:rPr>
          <w:rFonts w:ascii="Arial" w:eastAsia="Calibri" w:hAnsi="Arial" w:cs="Arial"/>
          <w:sz w:val="18"/>
          <w:szCs w:val="18"/>
        </w:rPr>
        <w:t>iem</w:t>
      </w:r>
      <w:r w:rsidR="00C26010" w:rsidRPr="00C26010">
        <w:rPr>
          <w:rFonts w:ascii="Arial" w:eastAsia="Calibri" w:hAnsi="Arial" w:cs="Arial"/>
          <w:sz w:val="18"/>
          <w:szCs w:val="18"/>
        </w:rPr>
        <w:t xml:space="preserve"> Firm Deweloperskich</w:t>
      </w:r>
      <w:r w:rsidR="00C26010">
        <w:rPr>
          <w:rFonts w:ascii="Arial" w:eastAsia="Calibri" w:hAnsi="Arial" w:cs="Arial"/>
          <w:sz w:val="18"/>
          <w:szCs w:val="18"/>
        </w:rPr>
        <w:t>,</w:t>
      </w:r>
      <w:r w:rsidRPr="005A7CB1">
        <w:rPr>
          <w:rFonts w:ascii="Arial" w:eastAsia="Calibri" w:hAnsi="Arial" w:cs="Arial"/>
          <w:sz w:val="18"/>
          <w:szCs w:val="18"/>
        </w:rPr>
        <w:t xml:space="preserve"> udało się nie dopuścić do uchwalenia szkodliwych przepisów forsowanych przez Urząd Ochrony Konkurencji</w:t>
      </w:r>
      <w:r w:rsidR="00C26010">
        <w:rPr>
          <w:rFonts w:ascii="Arial" w:eastAsia="Calibri" w:hAnsi="Arial" w:cs="Arial"/>
          <w:sz w:val="18"/>
          <w:szCs w:val="18"/>
        </w:rPr>
        <w:t xml:space="preserve"> i Konsumentów</w:t>
      </w:r>
      <w:r w:rsidRPr="005A7CB1">
        <w:rPr>
          <w:rFonts w:ascii="Arial" w:eastAsia="Calibri" w:hAnsi="Arial" w:cs="Arial"/>
          <w:sz w:val="18"/>
          <w:szCs w:val="18"/>
        </w:rPr>
        <w:t xml:space="preserve">. Dzięki temu nie dojdzie do nałożenia na przedsiębiorców nowego podatku w wysokości 2% od każdej wpłaty dokonywanej przez nabywcę na </w:t>
      </w:r>
      <w:r w:rsidR="00C26010" w:rsidRPr="00C26010">
        <w:rPr>
          <w:rFonts w:ascii="Arial" w:eastAsia="Calibri" w:hAnsi="Arial" w:cs="Arial"/>
          <w:sz w:val="18"/>
          <w:szCs w:val="18"/>
        </w:rPr>
        <w:t xml:space="preserve">Otwarty </w:t>
      </w:r>
      <w:r w:rsidR="00C26010">
        <w:rPr>
          <w:rFonts w:ascii="Arial" w:eastAsia="Calibri" w:hAnsi="Arial" w:cs="Arial"/>
          <w:sz w:val="18"/>
          <w:szCs w:val="18"/>
        </w:rPr>
        <w:t>Mieszkaniowy Rachunek P</w:t>
      </w:r>
      <w:r w:rsidR="00C26010" w:rsidRPr="00C26010">
        <w:rPr>
          <w:rFonts w:ascii="Arial" w:eastAsia="Calibri" w:hAnsi="Arial" w:cs="Arial"/>
          <w:sz w:val="18"/>
          <w:szCs w:val="18"/>
        </w:rPr>
        <w:t>owierniczy</w:t>
      </w:r>
      <w:r w:rsidRPr="005A7CB1">
        <w:rPr>
          <w:rFonts w:ascii="Arial" w:eastAsia="Calibri" w:hAnsi="Arial" w:cs="Arial"/>
          <w:sz w:val="18"/>
          <w:szCs w:val="18"/>
        </w:rPr>
        <w:t xml:space="preserve">. Mając na uwadze szacowaną obecnie wartość rynku – tj. ok. 55 mld złotych, przy składce 2% na rachunek DFG co roku wpływałaby kwota ponad 1 mld zł. </w:t>
      </w:r>
      <w:proofErr w:type="spellStart"/>
      <w:r w:rsidRPr="005A7CB1">
        <w:rPr>
          <w:rFonts w:ascii="Arial" w:eastAsia="Calibri" w:hAnsi="Arial" w:cs="Arial"/>
          <w:sz w:val="18"/>
          <w:szCs w:val="18"/>
        </w:rPr>
        <w:t>UOKiK</w:t>
      </w:r>
      <w:proofErr w:type="spellEnd"/>
      <w:r w:rsidRPr="005A7CB1">
        <w:rPr>
          <w:rFonts w:ascii="Arial" w:eastAsia="Calibri" w:hAnsi="Arial" w:cs="Arial"/>
          <w:sz w:val="18"/>
          <w:szCs w:val="18"/>
        </w:rPr>
        <w:t xml:space="preserve"> z kolei zakładał, że potrzebowałby zgromadzić rocznie na DFG kwotę rzędu 140 mln zł, by pokryć (co roku!) ewentualną upadłość jednego dużego i dwóch mniejszych deweloperów. Urząd szacował więc, że w każdym roku upadnie kilku deweloperów, podczas gdy przez 9 lat funkcjonowania ustawy upadło tylko dwóch, przy czym, były to przypadki związane z przestępstwem i obejściem ustawy deweloperskiej.</w:t>
      </w:r>
    </w:p>
    <w:p w:rsidR="005A7CB1" w:rsidRPr="005A7CB1" w:rsidRDefault="005A7CB1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</w:p>
    <w:p w:rsidR="005A7CB1" w:rsidRPr="005A7CB1" w:rsidRDefault="005A7CB1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  <w:proofErr w:type="spellStart"/>
      <w:r w:rsidRPr="005A7CB1">
        <w:rPr>
          <w:rFonts w:ascii="Arial" w:eastAsia="Calibri" w:hAnsi="Arial" w:cs="Arial"/>
          <w:sz w:val="18"/>
          <w:szCs w:val="18"/>
        </w:rPr>
        <w:t>UOKiK</w:t>
      </w:r>
      <w:proofErr w:type="spellEnd"/>
      <w:r w:rsidRPr="005A7CB1">
        <w:rPr>
          <w:rFonts w:ascii="Arial" w:eastAsia="Calibri" w:hAnsi="Arial" w:cs="Arial"/>
          <w:sz w:val="18"/>
          <w:szCs w:val="18"/>
        </w:rPr>
        <w:t xml:space="preserve"> nie przywołał ani jednego przykładu, kiedy byłoby inaczej, jak również nie uzasadnił, dlaczego mechanizmy ustawy nie działają. Brak jakichkolwiek raportów, analiz, czy opracowań urzędu. </w:t>
      </w:r>
      <w:r w:rsidR="00C26010">
        <w:rPr>
          <w:rFonts w:ascii="Arial" w:eastAsia="Calibri" w:hAnsi="Arial" w:cs="Arial"/>
          <w:sz w:val="18"/>
          <w:szCs w:val="18"/>
        </w:rPr>
        <w:t xml:space="preserve">Dzięki interwencji BCC i </w:t>
      </w:r>
      <w:r w:rsidRPr="005A7CB1">
        <w:rPr>
          <w:rFonts w:ascii="Arial" w:eastAsia="Calibri" w:hAnsi="Arial" w:cs="Arial"/>
          <w:sz w:val="18"/>
          <w:szCs w:val="18"/>
        </w:rPr>
        <w:t xml:space="preserve">wsparciu </w:t>
      </w:r>
      <w:r w:rsidR="00C26010">
        <w:rPr>
          <w:rFonts w:ascii="Arial" w:eastAsia="Calibri" w:hAnsi="Arial" w:cs="Arial"/>
          <w:sz w:val="18"/>
          <w:szCs w:val="18"/>
        </w:rPr>
        <w:t>wicep</w:t>
      </w:r>
      <w:r w:rsidRPr="005A7CB1">
        <w:rPr>
          <w:rFonts w:ascii="Arial" w:eastAsia="Calibri" w:hAnsi="Arial" w:cs="Arial"/>
          <w:sz w:val="18"/>
          <w:szCs w:val="18"/>
        </w:rPr>
        <w:t>remiera Jarosław</w:t>
      </w:r>
      <w:r w:rsidR="00C26010">
        <w:rPr>
          <w:rFonts w:ascii="Arial" w:eastAsia="Calibri" w:hAnsi="Arial" w:cs="Arial"/>
          <w:sz w:val="18"/>
          <w:szCs w:val="18"/>
        </w:rPr>
        <w:t>a</w:t>
      </w:r>
      <w:r w:rsidRPr="005A7CB1">
        <w:rPr>
          <w:rFonts w:ascii="Arial" w:eastAsia="Calibri" w:hAnsi="Arial" w:cs="Arial"/>
          <w:sz w:val="18"/>
          <w:szCs w:val="18"/>
        </w:rPr>
        <w:t xml:space="preserve"> Gowina udało się przyjąć poprawki Senatu do projektu ustawy, w wyniku czego zamiast 2% składka roczna wynosić będzie 1%.</w:t>
      </w:r>
    </w:p>
    <w:p w:rsidR="005A7CB1" w:rsidRDefault="005A7CB1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</w:p>
    <w:p w:rsidR="00F25422" w:rsidRDefault="00F25422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</w:p>
    <w:p w:rsidR="00F25422" w:rsidRDefault="00F25422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</w:p>
    <w:p w:rsidR="00F25422" w:rsidRPr="005A7CB1" w:rsidRDefault="00F25422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</w:p>
    <w:p w:rsidR="005A7CB1" w:rsidRDefault="005A7CB1" w:rsidP="00C26010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26010">
        <w:rPr>
          <w:rFonts w:ascii="Arial" w:eastAsia="Calibri" w:hAnsi="Arial" w:cs="Arial"/>
          <w:b/>
          <w:sz w:val="18"/>
          <w:szCs w:val="18"/>
        </w:rPr>
        <w:t>Zagrożenie</w:t>
      </w:r>
      <w:r w:rsidR="00C26010" w:rsidRPr="00C26010">
        <w:rPr>
          <w:rFonts w:ascii="Arial" w:eastAsia="Calibri" w:hAnsi="Arial" w:cs="Arial"/>
          <w:b/>
          <w:sz w:val="18"/>
          <w:szCs w:val="18"/>
        </w:rPr>
        <w:t xml:space="preserve"> inwestycji infrastrukturalnych</w:t>
      </w:r>
      <w:r w:rsidR="00C26010">
        <w:rPr>
          <w:rFonts w:ascii="Arial" w:eastAsia="Calibri" w:hAnsi="Arial" w:cs="Arial"/>
          <w:b/>
          <w:sz w:val="18"/>
          <w:szCs w:val="18"/>
        </w:rPr>
        <w:t>.</w:t>
      </w:r>
    </w:p>
    <w:p w:rsidR="00C26010" w:rsidRPr="00C26010" w:rsidRDefault="00C26010" w:rsidP="00C26010">
      <w:pPr>
        <w:spacing w:after="0" w:line="312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5A7CB1" w:rsidRDefault="005A7CB1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  <w:r w:rsidRPr="005A7CB1">
        <w:rPr>
          <w:rFonts w:ascii="Arial" w:eastAsia="Calibri" w:hAnsi="Arial" w:cs="Arial"/>
          <w:sz w:val="18"/>
          <w:szCs w:val="18"/>
        </w:rPr>
        <w:t>Grozi nam ostre hamowanie i tak już opóźnionych inwestycji na liniach kolejowych oraz poważne problemy przy realizacji inwestycji drogowych. Duża część przygotowywanych budów może być zagrożona wstrzymaniem lub nawet utratą unijnego dofinansowania, które w przypadku inwestycji kolejowych sięga 85 proc. wartości projektów. To rezultat wieloletniej zwłoki w dostosowaniu naszych przepisów do unijnych wymogów związanych z ochroną środowiska i ostatnimi działaniami Komisji Europejskiej. Komisja kwestionuje tzw. specustawy, stosowane u nas od lat, a wprowadzone przy okazji inwestycji związanych z Euro 2012. Specustawy pozwalają kontynuowanie inwestycji, jeśli ocenę oddziaływania na środowisko kwestionują organizacje społeczne, co w innym wypadku skutkował</w:t>
      </w:r>
      <w:r w:rsidR="00C26010">
        <w:rPr>
          <w:rFonts w:ascii="Arial" w:eastAsia="Calibri" w:hAnsi="Arial" w:cs="Arial"/>
          <w:sz w:val="18"/>
          <w:szCs w:val="18"/>
        </w:rPr>
        <w:t>oby wstrzymaniem postępowania.</w:t>
      </w:r>
    </w:p>
    <w:p w:rsidR="00C26010" w:rsidRPr="005A7CB1" w:rsidRDefault="00C26010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</w:p>
    <w:p w:rsidR="005A7CB1" w:rsidRPr="005A7CB1" w:rsidRDefault="005A7CB1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  <w:r w:rsidRPr="005A7CB1">
        <w:rPr>
          <w:rFonts w:ascii="Arial" w:eastAsia="Calibri" w:hAnsi="Arial" w:cs="Arial"/>
          <w:sz w:val="18"/>
          <w:szCs w:val="18"/>
        </w:rPr>
        <w:t>Problemem jest m.in. brak możliwości zwrócenia</w:t>
      </w:r>
      <w:r w:rsidR="00C26010">
        <w:rPr>
          <w:rFonts w:ascii="Arial" w:eastAsia="Calibri" w:hAnsi="Arial" w:cs="Arial"/>
          <w:sz w:val="18"/>
          <w:szCs w:val="18"/>
        </w:rPr>
        <w:t xml:space="preserve"> się o wstrzymanie wykonania</w:t>
      </w:r>
      <w:r w:rsidRPr="005A7CB1">
        <w:rPr>
          <w:rFonts w:ascii="Arial" w:eastAsia="Calibri" w:hAnsi="Arial" w:cs="Arial"/>
          <w:sz w:val="18"/>
          <w:szCs w:val="18"/>
        </w:rPr>
        <w:t xml:space="preserve"> decyzji o środowiskowych uwarunkowaniach</w:t>
      </w:r>
      <w:r w:rsidR="00C26010">
        <w:rPr>
          <w:rFonts w:ascii="Arial" w:eastAsia="Calibri" w:hAnsi="Arial" w:cs="Arial"/>
          <w:sz w:val="18"/>
          <w:szCs w:val="18"/>
        </w:rPr>
        <w:t>,</w:t>
      </w:r>
      <w:r w:rsidRPr="005A7CB1">
        <w:rPr>
          <w:rFonts w:ascii="Arial" w:eastAsia="Calibri" w:hAnsi="Arial" w:cs="Arial"/>
          <w:sz w:val="18"/>
          <w:szCs w:val="18"/>
        </w:rPr>
        <w:t xml:space="preserve"> czy brak możliwości wstrzymania inwestycji, gdy taka decyzja okazała się nieważna. Należy zwrócić uwagę, że od marca 2021</w:t>
      </w:r>
      <w:r w:rsidR="00C26010">
        <w:rPr>
          <w:rFonts w:ascii="Arial" w:eastAsia="Calibri" w:hAnsi="Arial" w:cs="Arial"/>
          <w:sz w:val="18"/>
          <w:szCs w:val="18"/>
        </w:rPr>
        <w:t xml:space="preserve"> </w:t>
      </w:r>
      <w:r w:rsidRPr="005A7CB1">
        <w:rPr>
          <w:rFonts w:ascii="Arial" w:eastAsia="Calibri" w:hAnsi="Arial" w:cs="Arial"/>
          <w:sz w:val="18"/>
          <w:szCs w:val="18"/>
        </w:rPr>
        <w:t>r</w:t>
      </w:r>
      <w:r w:rsidR="00C26010">
        <w:rPr>
          <w:rFonts w:ascii="Arial" w:eastAsia="Calibri" w:hAnsi="Arial" w:cs="Arial"/>
          <w:sz w:val="18"/>
          <w:szCs w:val="18"/>
        </w:rPr>
        <w:t>.</w:t>
      </w:r>
      <w:r w:rsidRPr="005A7CB1">
        <w:rPr>
          <w:rFonts w:ascii="Arial" w:eastAsia="Calibri" w:hAnsi="Arial" w:cs="Arial"/>
          <w:sz w:val="18"/>
          <w:szCs w:val="18"/>
        </w:rPr>
        <w:t xml:space="preserve"> nie powinno się wydawać pozwoleń na budowę dla projektów dofinansowanych ze środków UE. Możemy znaleźć się w sytuacji, że decyzje takie będą uchylane</w:t>
      </w:r>
      <w:r w:rsidR="00C26010">
        <w:rPr>
          <w:rFonts w:ascii="Arial" w:eastAsia="Calibri" w:hAnsi="Arial" w:cs="Arial"/>
          <w:sz w:val="18"/>
          <w:szCs w:val="18"/>
        </w:rPr>
        <w:t>,</w:t>
      </w:r>
      <w:r w:rsidRPr="005A7CB1">
        <w:rPr>
          <w:rFonts w:ascii="Arial" w:eastAsia="Calibri" w:hAnsi="Arial" w:cs="Arial"/>
          <w:sz w:val="18"/>
          <w:szCs w:val="18"/>
        </w:rPr>
        <w:t xml:space="preserve"> a realizacja inwestycji sparaliżowana. </w:t>
      </w:r>
    </w:p>
    <w:p w:rsidR="005A7CB1" w:rsidRDefault="005A7CB1" w:rsidP="005A7CB1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</w:p>
    <w:p w:rsidR="00C26010" w:rsidRDefault="005A7CB1" w:rsidP="00C26010">
      <w:pPr>
        <w:pStyle w:val="Akapitzlist"/>
        <w:numPr>
          <w:ilvl w:val="0"/>
          <w:numId w:val="19"/>
        </w:num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  <w:r w:rsidRPr="00C26010">
        <w:rPr>
          <w:rFonts w:ascii="Arial" w:eastAsia="Calibri" w:hAnsi="Arial" w:cs="Arial"/>
          <w:b/>
          <w:sz w:val="18"/>
          <w:szCs w:val="18"/>
        </w:rPr>
        <w:t>Ogromny wzrost cen materiałów budowlanych</w:t>
      </w:r>
      <w:r w:rsidR="00C26010">
        <w:rPr>
          <w:rFonts w:ascii="Arial" w:eastAsia="Calibri" w:hAnsi="Arial" w:cs="Arial"/>
          <w:b/>
          <w:sz w:val="18"/>
          <w:szCs w:val="18"/>
        </w:rPr>
        <w:t>.</w:t>
      </w:r>
      <w:r w:rsidRPr="00C26010">
        <w:rPr>
          <w:rFonts w:ascii="Arial" w:eastAsia="Calibri" w:hAnsi="Arial" w:cs="Arial"/>
          <w:sz w:val="18"/>
          <w:szCs w:val="18"/>
        </w:rPr>
        <w:t xml:space="preserve"> </w:t>
      </w:r>
    </w:p>
    <w:p w:rsidR="00C26010" w:rsidRDefault="00C26010" w:rsidP="00C26010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</w:p>
    <w:p w:rsidR="009D4781" w:rsidRPr="00C26010" w:rsidRDefault="00F25422" w:rsidP="00C26010">
      <w:pPr>
        <w:spacing w:after="0" w:line="312" w:lineRule="auto"/>
        <w:jc w:val="both"/>
        <w:rPr>
          <w:rFonts w:ascii="Arial" w:eastAsia="Calibri" w:hAnsi="Arial" w:cs="Arial"/>
          <w:sz w:val="18"/>
          <w:szCs w:val="18"/>
        </w:rPr>
      </w:pPr>
      <w:r w:rsidRPr="00F25422">
        <w:rPr>
          <w:rFonts w:ascii="Arial" w:eastAsia="Calibri" w:hAnsi="Arial" w:cs="Arial"/>
          <w:sz w:val="18"/>
          <w:szCs w:val="18"/>
        </w:rPr>
        <w:t>Skutkiem ogromnego</w:t>
      </w:r>
      <w:r w:rsidR="005A7CB1" w:rsidRPr="00F25422">
        <w:rPr>
          <w:rFonts w:ascii="Arial" w:eastAsia="Calibri" w:hAnsi="Arial" w:cs="Arial"/>
          <w:sz w:val="18"/>
          <w:szCs w:val="18"/>
        </w:rPr>
        <w:t xml:space="preserve"> wzrost</w:t>
      </w:r>
      <w:r w:rsidRPr="00F25422">
        <w:rPr>
          <w:rFonts w:ascii="Arial" w:eastAsia="Calibri" w:hAnsi="Arial" w:cs="Arial"/>
          <w:sz w:val="18"/>
          <w:szCs w:val="18"/>
        </w:rPr>
        <w:t>u</w:t>
      </w:r>
      <w:r w:rsidR="005A7CB1" w:rsidRPr="00F25422">
        <w:rPr>
          <w:rFonts w:ascii="Arial" w:eastAsia="Calibri" w:hAnsi="Arial" w:cs="Arial"/>
          <w:sz w:val="18"/>
          <w:szCs w:val="18"/>
        </w:rPr>
        <w:t xml:space="preserve"> cen materiałów budowlanych</w:t>
      </w:r>
      <w:r w:rsidRPr="00F25422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jest </w:t>
      </w:r>
      <w:r w:rsidR="005A7CB1" w:rsidRPr="00C26010">
        <w:rPr>
          <w:rFonts w:ascii="Arial" w:eastAsia="Calibri" w:hAnsi="Arial" w:cs="Arial"/>
          <w:sz w:val="18"/>
          <w:szCs w:val="18"/>
        </w:rPr>
        <w:t>znaczny wzrost kosztów wykonywania zamówień w zakresie inwestycji infrastrukturalnych. Drożejąca stal, beton, kruszywa, styropian, piasek</w:t>
      </w:r>
      <w:r>
        <w:rPr>
          <w:rFonts w:ascii="Arial" w:eastAsia="Calibri" w:hAnsi="Arial" w:cs="Arial"/>
          <w:sz w:val="18"/>
          <w:szCs w:val="18"/>
        </w:rPr>
        <w:t xml:space="preserve"> itd. </w:t>
      </w:r>
      <w:r w:rsidR="005A7CB1" w:rsidRPr="00C26010">
        <w:rPr>
          <w:rFonts w:ascii="Arial" w:eastAsia="Calibri" w:hAnsi="Arial" w:cs="Arial"/>
          <w:sz w:val="18"/>
          <w:szCs w:val="18"/>
        </w:rPr>
        <w:t>powoduje, że wykonanie umów na warunkach kosztorysów sprzed kilku czy kilkunastu miesięcy może okazać się niemożliwa. Istnieje ryzyko kaskadow</w:t>
      </w:r>
      <w:r>
        <w:rPr>
          <w:rFonts w:ascii="Arial" w:eastAsia="Calibri" w:hAnsi="Arial" w:cs="Arial"/>
          <w:sz w:val="18"/>
          <w:szCs w:val="18"/>
        </w:rPr>
        <w:t xml:space="preserve">ej niewypłacalności wykonawców – </w:t>
      </w:r>
      <w:r w:rsidR="005A7CB1" w:rsidRPr="00C26010">
        <w:rPr>
          <w:rFonts w:ascii="Arial" w:eastAsia="Calibri" w:hAnsi="Arial" w:cs="Arial"/>
          <w:sz w:val="18"/>
          <w:szCs w:val="18"/>
        </w:rPr>
        <w:t>od generalnego poprzez cały łańcuch podwykonawców</w:t>
      </w:r>
      <w:r>
        <w:rPr>
          <w:rFonts w:ascii="Arial" w:eastAsia="Calibri" w:hAnsi="Arial" w:cs="Arial"/>
          <w:sz w:val="18"/>
          <w:szCs w:val="18"/>
        </w:rPr>
        <w:t xml:space="preserve"> – </w:t>
      </w:r>
      <w:r w:rsidR="005A7CB1" w:rsidRPr="00C26010">
        <w:rPr>
          <w:rFonts w:ascii="Arial" w:eastAsia="Calibri" w:hAnsi="Arial" w:cs="Arial"/>
          <w:sz w:val="18"/>
          <w:szCs w:val="18"/>
        </w:rPr>
        <w:t>co skutkować będzie lawiną bankructw. Mieliśmy już taką sytuację w latach 2012-2015</w:t>
      </w:r>
      <w:r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br/>
        <w:t xml:space="preserve">i </w:t>
      </w:r>
      <w:r w:rsidR="005A7CB1" w:rsidRPr="00C26010">
        <w:rPr>
          <w:rFonts w:ascii="Arial" w:eastAsia="Calibri" w:hAnsi="Arial" w:cs="Arial"/>
          <w:sz w:val="18"/>
          <w:szCs w:val="18"/>
        </w:rPr>
        <w:t>nauczeni tym doświadczeniem powin</w:t>
      </w:r>
      <w:r>
        <w:rPr>
          <w:rFonts w:ascii="Arial" w:eastAsia="Calibri" w:hAnsi="Arial" w:cs="Arial"/>
          <w:sz w:val="18"/>
          <w:szCs w:val="18"/>
        </w:rPr>
        <w:t xml:space="preserve">niśmy (rząd) </w:t>
      </w:r>
      <w:r w:rsidR="005A7CB1" w:rsidRPr="00C26010">
        <w:rPr>
          <w:rFonts w:ascii="Arial" w:eastAsia="Calibri" w:hAnsi="Arial" w:cs="Arial"/>
          <w:sz w:val="18"/>
          <w:szCs w:val="18"/>
        </w:rPr>
        <w:t>interweniować z wyprzedzeniem. W przeciwnym razie</w:t>
      </w:r>
      <w:r>
        <w:rPr>
          <w:rFonts w:ascii="Arial" w:eastAsia="Calibri" w:hAnsi="Arial" w:cs="Arial"/>
          <w:sz w:val="18"/>
          <w:szCs w:val="18"/>
        </w:rPr>
        <w:t>,</w:t>
      </w:r>
      <w:r w:rsidR="005A7CB1" w:rsidRPr="00C26010">
        <w:rPr>
          <w:rFonts w:ascii="Arial" w:eastAsia="Calibri" w:hAnsi="Arial" w:cs="Arial"/>
          <w:sz w:val="18"/>
          <w:szCs w:val="18"/>
        </w:rPr>
        <w:t xml:space="preserve"> wykonanie wielu inwestycji infrastrukturalnych, korzystających ze środków unijnych może okazać się niemożliwe, a dofinansowanie może </w:t>
      </w:r>
      <w:r>
        <w:rPr>
          <w:rFonts w:ascii="Arial" w:eastAsia="Calibri" w:hAnsi="Arial" w:cs="Arial"/>
          <w:sz w:val="18"/>
          <w:szCs w:val="18"/>
        </w:rPr>
        <w:t xml:space="preserve">w ogóle </w:t>
      </w:r>
      <w:r w:rsidR="005A7CB1" w:rsidRPr="00C26010">
        <w:rPr>
          <w:rFonts w:ascii="Arial" w:eastAsia="Calibri" w:hAnsi="Arial" w:cs="Arial"/>
          <w:sz w:val="18"/>
          <w:szCs w:val="18"/>
        </w:rPr>
        <w:t>przepaść.</w:t>
      </w:r>
    </w:p>
    <w:p w:rsidR="009D4781" w:rsidRDefault="009D4781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F25422" w:rsidRDefault="00F25422" w:rsidP="00342A87">
      <w:pPr>
        <w:spacing w:after="0" w:line="100" w:lineRule="atLeast"/>
        <w:jc w:val="both"/>
        <w:rPr>
          <w:rFonts w:ascii="Arial" w:eastAsia="Calibri" w:hAnsi="Arial" w:cs="Arial"/>
          <w:sz w:val="16"/>
          <w:szCs w:val="18"/>
          <w:u w:val="single"/>
        </w:rPr>
      </w:pPr>
    </w:p>
    <w:p w:rsidR="00C26010" w:rsidRPr="00C26010" w:rsidRDefault="00C26010" w:rsidP="00C26010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C26010" w:rsidRPr="00C26010" w:rsidRDefault="00C26010" w:rsidP="00C26010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C26010">
        <w:rPr>
          <w:rFonts w:ascii="Arial" w:hAnsi="Arial" w:cs="Arial"/>
          <w:sz w:val="18"/>
          <w:szCs w:val="18"/>
          <w:u w:val="single"/>
        </w:rPr>
        <w:t>Kontakt:</w:t>
      </w:r>
    </w:p>
    <w:p w:rsidR="00C26010" w:rsidRPr="00C26010" w:rsidRDefault="00C26010" w:rsidP="00C26010">
      <w:pPr>
        <w:spacing w:after="0" w:line="100" w:lineRule="atLeas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C26010" w:rsidRPr="00C26010" w:rsidRDefault="00C26010" w:rsidP="00C26010">
      <w:pPr>
        <w:suppressAutoHyphens/>
        <w:spacing w:after="0" w:line="100" w:lineRule="atLeast"/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  <w:r w:rsidRPr="00C26010">
        <w:rPr>
          <w:rFonts w:ascii="Arial" w:eastAsia="Arial Unicode MS" w:hAnsi="Arial" w:cs="Arial"/>
          <w:b/>
          <w:bCs/>
          <w:sz w:val="18"/>
          <w:szCs w:val="18"/>
          <w:lang w:eastAsia="ar-SA"/>
        </w:rPr>
        <w:t>Emil Muciński</w:t>
      </w:r>
    </w:p>
    <w:p w:rsidR="00C26010" w:rsidRPr="00C26010" w:rsidRDefault="00C26010" w:rsidP="00C26010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C26010">
        <w:rPr>
          <w:rFonts w:ascii="Arial" w:eastAsia="Arial Unicode MS" w:hAnsi="Arial" w:cs="Arial"/>
          <w:sz w:val="18"/>
          <w:szCs w:val="18"/>
          <w:lang w:eastAsia="ar-SA"/>
        </w:rPr>
        <w:t>rzecznik, dyrektor Instytutu Interwencji Gospodarczych BCC</w:t>
      </w:r>
    </w:p>
    <w:p w:rsidR="00C26010" w:rsidRPr="00C26010" w:rsidRDefault="00C26010" w:rsidP="00C26010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C26010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tel. 602 571 395, e-mail: </w:t>
      </w:r>
      <w:hyperlink r:id="rId11" w:history="1">
        <w:r w:rsidRPr="00C26010">
          <w:rPr>
            <w:rFonts w:ascii="Arial" w:eastAsia="Arial Unicode MS" w:hAnsi="Arial" w:cs="Arial"/>
            <w:color w:val="0000FF"/>
            <w:sz w:val="18"/>
            <w:szCs w:val="18"/>
            <w:u w:val="single"/>
            <w:lang w:val="en-US" w:eastAsia="ar-SA"/>
          </w:rPr>
          <w:t>emil.mucinski@bcc.pl</w:t>
        </w:r>
      </w:hyperlink>
    </w:p>
    <w:p w:rsidR="00763860" w:rsidRPr="009B4DC6" w:rsidRDefault="00763860" w:rsidP="00342A87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342A87" w:rsidRPr="00342A87" w:rsidRDefault="00342A87" w:rsidP="00342A87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8"/>
        </w:rPr>
      </w:pPr>
    </w:p>
    <w:p w:rsidR="009D4781" w:rsidRPr="009D4781" w:rsidRDefault="00342A87" w:rsidP="00342A87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0000FF"/>
          <w:sz w:val="14"/>
          <w:szCs w:val="16"/>
          <w:u w:val="single"/>
        </w:rPr>
      </w:pPr>
      <w:r w:rsidRPr="00342A87">
        <w:rPr>
          <w:rFonts w:ascii="Calibri" w:eastAsia="Calibri" w:hAnsi="Calibri" w:cs="Calibri"/>
          <w:b/>
          <w:i/>
          <w:color w:val="808080"/>
          <w:sz w:val="14"/>
          <w:szCs w:val="16"/>
        </w:rPr>
        <w:t>Gospodarczy Gabinet Cieni Business Centre Club</w:t>
      </w:r>
      <w:r w:rsidRPr="00342A87">
        <w:rPr>
          <w:rFonts w:ascii="Calibri" w:eastAsia="Calibri" w:hAnsi="Calibri" w:cs="Calibri"/>
          <w:i/>
          <w:color w:val="808080"/>
          <w:sz w:val="14"/>
          <w:szCs w:val="16"/>
        </w:rPr>
        <w:t xml:space="preserve"> to </w:t>
      </w:r>
      <w:proofErr w:type="spellStart"/>
      <w:r w:rsidRPr="00342A87">
        <w:rPr>
          <w:rFonts w:ascii="Calibri" w:eastAsia="Calibri" w:hAnsi="Calibri" w:cs="Calibri"/>
          <w:i/>
          <w:color w:val="808080"/>
          <w:sz w:val="14"/>
          <w:szCs w:val="16"/>
        </w:rPr>
        <w:t>think</w:t>
      </w:r>
      <w:proofErr w:type="spellEnd"/>
      <w:r w:rsidRPr="00342A87">
        <w:rPr>
          <w:rFonts w:ascii="Calibri" w:eastAsia="Calibri" w:hAnsi="Calibri" w:cs="Calibri"/>
          <w:i/>
          <w:color w:val="808080"/>
          <w:sz w:val="14"/>
          <w:szCs w:val="16"/>
        </w:rPr>
        <w:t xml:space="preserve"> tank powołany w kwietniu 2012 r., aby wspierać działania prorozwojowe władz publicznych, monitorować prace resortów kluczowych dla przedsiębiorczości, rekomendować zmiany sprzyjające rozwojowi kraju, wzrostowi gospodarczemu i konkurencyjności polskich firm. W skład GGC BCC wchodzą wybitni gospodarczy fachowcy, z których wielu piastowało w</w:t>
      </w:r>
      <w:r w:rsidR="009D4781">
        <w:rPr>
          <w:rFonts w:ascii="Calibri" w:eastAsia="Calibri" w:hAnsi="Calibri" w:cs="Calibri"/>
          <w:i/>
          <w:color w:val="808080"/>
          <w:sz w:val="14"/>
          <w:szCs w:val="16"/>
        </w:rPr>
        <w:t xml:space="preserve"> przeszłości funkcje publiczne. </w:t>
      </w:r>
      <w:r w:rsidR="009D4781">
        <w:rPr>
          <w:rFonts w:ascii="Calibri" w:eastAsia="Calibri" w:hAnsi="Calibri" w:cs="Calibri"/>
          <w:i/>
          <w:color w:val="808080"/>
          <w:sz w:val="14"/>
          <w:szCs w:val="16"/>
        </w:rPr>
        <w:br/>
      </w:r>
      <w:r w:rsidRPr="00342A87">
        <w:rPr>
          <w:rFonts w:ascii="Calibri" w:eastAsia="Calibri" w:hAnsi="Calibri" w:cs="Calibri"/>
          <w:i/>
          <w:color w:val="808080"/>
          <w:sz w:val="14"/>
          <w:szCs w:val="16"/>
        </w:rPr>
        <w:t xml:space="preserve">Więcej informacji: </w:t>
      </w:r>
      <w:hyperlink r:id="rId12" w:history="1">
        <w:r w:rsidRPr="00342A87">
          <w:rPr>
            <w:rFonts w:ascii="Calibri" w:eastAsia="Calibri" w:hAnsi="Calibri" w:cs="Calibri"/>
            <w:i/>
            <w:color w:val="0000FF"/>
            <w:sz w:val="14"/>
            <w:szCs w:val="16"/>
            <w:u w:val="single"/>
          </w:rPr>
          <w:t>http://www.bcc.org.pl/Gospodarczy-Gabinet-Cieni.4241.0.html</w:t>
        </w:r>
      </w:hyperlink>
    </w:p>
    <w:sectPr w:rsidR="009D4781" w:rsidRPr="009D4781" w:rsidSect="00F25422">
      <w:footerReference w:type="default" r:id="rId13"/>
      <w:pgSz w:w="11906" w:h="16838"/>
      <w:pgMar w:top="1135" w:right="1417" w:bottom="127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7E" w:rsidRDefault="002E767E">
      <w:pPr>
        <w:spacing w:after="0" w:line="240" w:lineRule="auto"/>
      </w:pPr>
      <w:r>
        <w:separator/>
      </w:r>
    </w:p>
  </w:endnote>
  <w:endnote w:type="continuationSeparator" w:id="0">
    <w:p w:rsidR="002E767E" w:rsidRDefault="002E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A4" w:rsidRPr="009B7B9C" w:rsidRDefault="000F6A44" w:rsidP="0079671E">
    <w:pPr>
      <w:pStyle w:val="Stopka"/>
      <w:rPr>
        <w:sz w:val="18"/>
      </w:rPr>
    </w:pPr>
    <w:r>
      <w:rPr>
        <w:sz w:val="16"/>
        <w:szCs w:val="18"/>
      </w:rPr>
      <w:t>Gosp</w:t>
    </w:r>
    <w:r w:rsidR="009B4DC6">
      <w:rPr>
        <w:sz w:val="16"/>
        <w:szCs w:val="18"/>
      </w:rPr>
      <w:t>odarczy Gabinet Cieni BCC – XXX</w:t>
    </w:r>
    <w:r w:rsidR="00AC09CC">
      <w:rPr>
        <w:sz w:val="16"/>
        <w:szCs w:val="18"/>
      </w:rPr>
      <w:t>V</w:t>
    </w:r>
    <w:r w:rsidR="009B4DC6">
      <w:rPr>
        <w:sz w:val="16"/>
        <w:szCs w:val="18"/>
      </w:rPr>
      <w:t>I</w:t>
    </w:r>
    <w:r w:rsidR="00B7177B">
      <w:rPr>
        <w:sz w:val="16"/>
        <w:szCs w:val="18"/>
      </w:rPr>
      <w:t>I</w:t>
    </w:r>
    <w:r>
      <w:rPr>
        <w:sz w:val="16"/>
        <w:szCs w:val="18"/>
      </w:rPr>
      <w:t xml:space="preserve"> Raport kwartalny – </w:t>
    </w:r>
    <w:r w:rsidR="005A7CB1">
      <w:rPr>
        <w:sz w:val="16"/>
        <w:szCs w:val="18"/>
      </w:rPr>
      <w:t>23</w:t>
    </w:r>
    <w:r w:rsidRPr="009B7B9C">
      <w:rPr>
        <w:sz w:val="16"/>
        <w:szCs w:val="18"/>
      </w:rPr>
      <w:t>.</w:t>
    </w:r>
    <w:r>
      <w:rPr>
        <w:sz w:val="16"/>
        <w:szCs w:val="18"/>
      </w:rPr>
      <w:t>0</w:t>
    </w:r>
    <w:r w:rsidR="005A7CB1">
      <w:rPr>
        <w:sz w:val="16"/>
        <w:szCs w:val="18"/>
      </w:rPr>
      <w:t>6</w:t>
    </w:r>
    <w:r w:rsidRPr="009B7B9C">
      <w:rPr>
        <w:sz w:val="16"/>
        <w:szCs w:val="18"/>
      </w:rPr>
      <w:t>.20</w:t>
    </w:r>
    <w:r w:rsidR="009B4DC6">
      <w:rPr>
        <w:sz w:val="16"/>
        <w:szCs w:val="18"/>
      </w:rPr>
      <w:t>21</w:t>
    </w:r>
    <w:r w:rsidRPr="009B7B9C">
      <w:rPr>
        <w:sz w:val="16"/>
        <w:szCs w:val="18"/>
      </w:rPr>
      <w:t xml:space="preserve"> r.</w:t>
    </w:r>
    <w:r>
      <w:rPr>
        <w:sz w:val="16"/>
        <w:szCs w:val="18"/>
      </w:rPr>
      <w:tab/>
    </w:r>
    <w:r w:rsidRPr="009B7B9C">
      <w:rPr>
        <w:sz w:val="18"/>
      </w:rPr>
      <w:t xml:space="preserve"> </w:t>
    </w:r>
    <w:r>
      <w:rPr>
        <w:sz w:val="18"/>
      </w:rPr>
      <w:tab/>
    </w:r>
    <w:r w:rsidRPr="009B7B9C">
      <w:rPr>
        <w:sz w:val="18"/>
      </w:rPr>
      <w:fldChar w:fldCharType="begin"/>
    </w:r>
    <w:r w:rsidRPr="009B7B9C">
      <w:rPr>
        <w:sz w:val="18"/>
      </w:rPr>
      <w:instrText xml:space="preserve"> PAGE   \* MERGEFORMAT </w:instrText>
    </w:r>
    <w:r w:rsidRPr="009B7B9C">
      <w:rPr>
        <w:sz w:val="18"/>
      </w:rPr>
      <w:fldChar w:fldCharType="separate"/>
    </w:r>
    <w:r w:rsidR="00B7177B">
      <w:rPr>
        <w:noProof/>
        <w:sz w:val="18"/>
      </w:rPr>
      <w:t>1</w:t>
    </w:r>
    <w:r w:rsidRPr="009B7B9C">
      <w:rPr>
        <w:sz w:val="18"/>
      </w:rPr>
      <w:fldChar w:fldCharType="end"/>
    </w:r>
  </w:p>
  <w:p w:rsidR="00B453A4" w:rsidRDefault="002E76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7E" w:rsidRDefault="002E767E">
      <w:pPr>
        <w:spacing w:after="0" w:line="240" w:lineRule="auto"/>
      </w:pPr>
      <w:r>
        <w:separator/>
      </w:r>
    </w:p>
  </w:footnote>
  <w:footnote w:type="continuationSeparator" w:id="0">
    <w:p w:rsidR="002E767E" w:rsidRDefault="002E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81"/>
    <w:multiLevelType w:val="hybridMultilevel"/>
    <w:tmpl w:val="75D0441E"/>
    <w:lvl w:ilvl="0" w:tplc="9C60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A0F15"/>
    <w:multiLevelType w:val="hybridMultilevel"/>
    <w:tmpl w:val="DCBCADD0"/>
    <w:lvl w:ilvl="0" w:tplc="014E6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001C"/>
    <w:multiLevelType w:val="hybridMultilevel"/>
    <w:tmpl w:val="CA7CAE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27977"/>
    <w:multiLevelType w:val="hybridMultilevel"/>
    <w:tmpl w:val="C31A728A"/>
    <w:lvl w:ilvl="0" w:tplc="17A45524">
      <w:start w:val="2"/>
      <w:numFmt w:val="decimal"/>
      <w:lvlText w:val="%1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81736F"/>
    <w:multiLevelType w:val="hybridMultilevel"/>
    <w:tmpl w:val="676615C2"/>
    <w:lvl w:ilvl="0" w:tplc="34949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A0190"/>
    <w:multiLevelType w:val="hybridMultilevel"/>
    <w:tmpl w:val="4EBA8BCE"/>
    <w:lvl w:ilvl="0" w:tplc="F4122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06AC5"/>
    <w:multiLevelType w:val="hybridMultilevel"/>
    <w:tmpl w:val="7A8CEEAA"/>
    <w:lvl w:ilvl="0" w:tplc="A2063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77E0D"/>
    <w:multiLevelType w:val="hybridMultilevel"/>
    <w:tmpl w:val="13EED0C0"/>
    <w:lvl w:ilvl="0" w:tplc="144AA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123CC"/>
    <w:multiLevelType w:val="hybridMultilevel"/>
    <w:tmpl w:val="8AE8872A"/>
    <w:lvl w:ilvl="0" w:tplc="D396B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863C2"/>
    <w:multiLevelType w:val="hybridMultilevel"/>
    <w:tmpl w:val="C8C26A72"/>
    <w:lvl w:ilvl="0" w:tplc="0A18B9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74506"/>
    <w:multiLevelType w:val="hybridMultilevel"/>
    <w:tmpl w:val="2FE254F6"/>
    <w:lvl w:ilvl="0" w:tplc="EDA8F0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FA5958"/>
    <w:multiLevelType w:val="hybridMultilevel"/>
    <w:tmpl w:val="A41097E0"/>
    <w:lvl w:ilvl="0" w:tplc="014E6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013AC"/>
    <w:multiLevelType w:val="hybridMultilevel"/>
    <w:tmpl w:val="6DF4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1226B"/>
    <w:multiLevelType w:val="hybridMultilevel"/>
    <w:tmpl w:val="2E10864A"/>
    <w:lvl w:ilvl="0" w:tplc="4474A3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D1044"/>
    <w:multiLevelType w:val="hybridMultilevel"/>
    <w:tmpl w:val="CE86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9279E"/>
    <w:multiLevelType w:val="hybridMultilevel"/>
    <w:tmpl w:val="6BBA5B82"/>
    <w:lvl w:ilvl="0" w:tplc="FC42350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832781B"/>
    <w:multiLevelType w:val="hybridMultilevel"/>
    <w:tmpl w:val="8BDAB5BE"/>
    <w:lvl w:ilvl="0" w:tplc="A9384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74BDF"/>
    <w:multiLevelType w:val="hybridMultilevel"/>
    <w:tmpl w:val="D328463A"/>
    <w:lvl w:ilvl="0" w:tplc="858CD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C45A80"/>
    <w:multiLevelType w:val="hybridMultilevel"/>
    <w:tmpl w:val="328EE6F4"/>
    <w:lvl w:ilvl="0" w:tplc="DCF061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6"/>
  </w:num>
  <w:num w:numId="5">
    <w:abstractNumId w:val="5"/>
  </w:num>
  <w:num w:numId="6">
    <w:abstractNumId w:val="15"/>
  </w:num>
  <w:num w:numId="7">
    <w:abstractNumId w:val="7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13"/>
  </w:num>
  <w:num w:numId="13">
    <w:abstractNumId w:val="2"/>
  </w:num>
  <w:num w:numId="14">
    <w:abstractNumId w:val="18"/>
  </w:num>
  <w:num w:numId="15">
    <w:abstractNumId w:val="12"/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87"/>
    <w:rsid w:val="000F6A44"/>
    <w:rsid w:val="00101039"/>
    <w:rsid w:val="00106344"/>
    <w:rsid w:val="0013564F"/>
    <w:rsid w:val="00160CA7"/>
    <w:rsid w:val="001868F5"/>
    <w:rsid w:val="001B2FF7"/>
    <w:rsid w:val="001F29E1"/>
    <w:rsid w:val="002107EF"/>
    <w:rsid w:val="0027385E"/>
    <w:rsid w:val="00293627"/>
    <w:rsid w:val="002E767E"/>
    <w:rsid w:val="00342A87"/>
    <w:rsid w:val="00361509"/>
    <w:rsid w:val="00367D72"/>
    <w:rsid w:val="004254FC"/>
    <w:rsid w:val="00511E03"/>
    <w:rsid w:val="005A7CB1"/>
    <w:rsid w:val="005D1497"/>
    <w:rsid w:val="005F106E"/>
    <w:rsid w:val="006733A5"/>
    <w:rsid w:val="00694308"/>
    <w:rsid w:val="006A4707"/>
    <w:rsid w:val="006B44E0"/>
    <w:rsid w:val="00752878"/>
    <w:rsid w:val="00763860"/>
    <w:rsid w:val="00772113"/>
    <w:rsid w:val="007A7DD9"/>
    <w:rsid w:val="007F1637"/>
    <w:rsid w:val="00802774"/>
    <w:rsid w:val="00844F1E"/>
    <w:rsid w:val="008670C0"/>
    <w:rsid w:val="008D6BF2"/>
    <w:rsid w:val="008F04E5"/>
    <w:rsid w:val="008F3799"/>
    <w:rsid w:val="00970162"/>
    <w:rsid w:val="00970CCF"/>
    <w:rsid w:val="00980411"/>
    <w:rsid w:val="009B4DC6"/>
    <w:rsid w:val="009D4781"/>
    <w:rsid w:val="00AA6E02"/>
    <w:rsid w:val="00AC09CC"/>
    <w:rsid w:val="00B267A1"/>
    <w:rsid w:val="00B32CC8"/>
    <w:rsid w:val="00B61202"/>
    <w:rsid w:val="00B7177B"/>
    <w:rsid w:val="00B938BC"/>
    <w:rsid w:val="00BD29E4"/>
    <w:rsid w:val="00BD53A4"/>
    <w:rsid w:val="00C26010"/>
    <w:rsid w:val="00C32E6E"/>
    <w:rsid w:val="00C836D8"/>
    <w:rsid w:val="00CA19C1"/>
    <w:rsid w:val="00CC3A91"/>
    <w:rsid w:val="00CF32D4"/>
    <w:rsid w:val="00D000AB"/>
    <w:rsid w:val="00D54C8D"/>
    <w:rsid w:val="00D81796"/>
    <w:rsid w:val="00E35E54"/>
    <w:rsid w:val="00E42D57"/>
    <w:rsid w:val="00E65C24"/>
    <w:rsid w:val="00E8631F"/>
    <w:rsid w:val="00E872D8"/>
    <w:rsid w:val="00EB0777"/>
    <w:rsid w:val="00F2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A87"/>
  </w:style>
  <w:style w:type="paragraph" w:styleId="Tekstdymka">
    <w:name w:val="Balloon Text"/>
    <w:basedOn w:val="Normalny"/>
    <w:link w:val="TekstdymkaZnak"/>
    <w:uiPriority w:val="99"/>
    <w:semiHidden/>
    <w:unhideWhenUsed/>
    <w:rsid w:val="003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A87"/>
    <w:rPr>
      <w:rFonts w:ascii="Tahoma" w:hAnsi="Tahoma" w:cs="Tahoma"/>
      <w:sz w:val="16"/>
      <w:szCs w:val="16"/>
    </w:rPr>
  </w:style>
  <w:style w:type="paragraph" w:customStyle="1" w:styleId="Titreobjet">
    <w:name w:val="Titre objet"/>
    <w:basedOn w:val="Normalny"/>
    <w:next w:val="Normalny"/>
    <w:rsid w:val="00342A87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Considrant">
    <w:name w:val="Manual Considérant"/>
    <w:basedOn w:val="Normalny"/>
    <w:rsid w:val="00342A87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</w:rPr>
  </w:style>
  <w:style w:type="paragraph" w:customStyle="1" w:styleId="Formuledadoption">
    <w:name w:val="Formule d'adoption"/>
    <w:basedOn w:val="Normalny"/>
    <w:next w:val="Normalny"/>
    <w:rsid w:val="00342A87"/>
    <w:pPr>
      <w:keepNext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ny"/>
    <w:next w:val="Normalny"/>
    <w:rsid w:val="00342A87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342A87"/>
    <w:pPr>
      <w:ind w:left="720"/>
      <w:contextualSpacing/>
    </w:pPr>
  </w:style>
  <w:style w:type="character" w:styleId="Hipercze">
    <w:name w:val="Hyperlink"/>
    <w:unhideWhenUsed/>
    <w:rsid w:val="008670C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A87"/>
  </w:style>
  <w:style w:type="paragraph" w:styleId="Tekstdymka">
    <w:name w:val="Balloon Text"/>
    <w:basedOn w:val="Normalny"/>
    <w:link w:val="TekstdymkaZnak"/>
    <w:uiPriority w:val="99"/>
    <w:semiHidden/>
    <w:unhideWhenUsed/>
    <w:rsid w:val="003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A87"/>
    <w:rPr>
      <w:rFonts w:ascii="Tahoma" w:hAnsi="Tahoma" w:cs="Tahoma"/>
      <w:sz w:val="16"/>
      <w:szCs w:val="16"/>
    </w:rPr>
  </w:style>
  <w:style w:type="paragraph" w:customStyle="1" w:styleId="Titreobjet">
    <w:name w:val="Titre objet"/>
    <w:basedOn w:val="Normalny"/>
    <w:next w:val="Normalny"/>
    <w:rsid w:val="00342A87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Considrant">
    <w:name w:val="Manual Considérant"/>
    <w:basedOn w:val="Normalny"/>
    <w:rsid w:val="00342A87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</w:rPr>
  </w:style>
  <w:style w:type="paragraph" w:customStyle="1" w:styleId="Formuledadoption">
    <w:name w:val="Formule d'adoption"/>
    <w:basedOn w:val="Normalny"/>
    <w:next w:val="Normalny"/>
    <w:rsid w:val="00342A87"/>
    <w:pPr>
      <w:keepNext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ny"/>
    <w:next w:val="Normalny"/>
    <w:rsid w:val="00342A87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342A87"/>
    <w:pPr>
      <w:ind w:left="720"/>
      <w:contextualSpacing/>
    </w:pPr>
  </w:style>
  <w:style w:type="character" w:styleId="Hipercze">
    <w:name w:val="Hyperlink"/>
    <w:unhideWhenUsed/>
    <w:rsid w:val="008670C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cc.org.pl/Gospodarczy-Gabinet-Cieni.4241.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mil.mucinski@bc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502%20066%206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Muciński Emil</cp:lastModifiedBy>
  <cp:revision>6</cp:revision>
  <cp:lastPrinted>2021-07-07T08:34:00Z</cp:lastPrinted>
  <dcterms:created xsi:type="dcterms:W3CDTF">2021-07-07T08:03:00Z</dcterms:created>
  <dcterms:modified xsi:type="dcterms:W3CDTF">2021-07-07T08:38:00Z</dcterms:modified>
</cp:coreProperties>
</file>