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E5" w:rsidRDefault="005662E5" w:rsidP="005662E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1A8EC4D7" wp14:editId="722220C7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E5" w:rsidRPr="00B145F3" w:rsidRDefault="005662E5" w:rsidP="005662E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</w:t>
      </w:r>
      <w:r>
        <w:rPr>
          <w:rFonts w:ascii="Arial" w:eastAsia="Times New Roman" w:hAnsi="Arial" w:cs="Arial"/>
          <w:sz w:val="18"/>
          <w:szCs w:val="20"/>
          <w:lang w:eastAsia="pl-PL"/>
        </w:rPr>
        <w:t>4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sierpnia </w:t>
      </w:r>
      <w:r w:rsidRPr="00B145F3">
        <w:rPr>
          <w:rFonts w:ascii="Arial" w:eastAsia="Times New Roman" w:hAnsi="Arial" w:cs="Arial"/>
          <w:sz w:val="18"/>
          <w:szCs w:val="20"/>
          <w:lang w:eastAsia="pl-PL"/>
        </w:rPr>
        <w:t>2021 r.</w:t>
      </w:r>
    </w:p>
    <w:p w:rsidR="005662E5" w:rsidRPr="005662E5" w:rsidRDefault="005662E5" w:rsidP="005662E5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Opinia</w:t>
      </w:r>
    </w:p>
    <w:p w:rsidR="005662E5" w:rsidRPr="005662E5" w:rsidRDefault="00BF557E" w:rsidP="005662E5">
      <w:pPr>
        <w:pStyle w:val="NormalnyWeb"/>
        <w:spacing w:after="0" w:line="312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sz w:val="18"/>
          <w:szCs w:val="18"/>
        </w:rPr>
        <w:t>nt.</w:t>
      </w:r>
      <w:r w:rsidR="005662E5" w:rsidRPr="005662E5">
        <w:rPr>
          <w:rFonts w:ascii="Arial" w:hAnsi="Arial" w:cs="Arial"/>
          <w:b/>
          <w:bCs/>
          <w:sz w:val="18"/>
          <w:szCs w:val="18"/>
        </w:rPr>
        <w:t xml:space="preserve"> </w:t>
      </w:r>
      <w:r w:rsidR="005662E5" w:rsidRPr="005662E5">
        <w:rPr>
          <w:rFonts w:ascii="Arial" w:hAnsi="Arial" w:cs="Arial"/>
          <w:b/>
          <w:bCs/>
          <w:i/>
          <w:sz w:val="18"/>
          <w:szCs w:val="18"/>
        </w:rPr>
        <w:t>projektu ustawy o zmianie ustawy o radiofonii i telewizji</w:t>
      </w:r>
      <w:r w:rsidR="005662E5">
        <w:rPr>
          <w:rFonts w:ascii="Arial" w:hAnsi="Arial" w:cs="Arial"/>
          <w:b/>
          <w:bCs/>
          <w:sz w:val="18"/>
          <w:szCs w:val="18"/>
        </w:rPr>
        <w:t xml:space="preserve"> </w:t>
      </w:r>
      <w:r w:rsidR="005662E5" w:rsidRPr="005662E5">
        <w:rPr>
          <w:rFonts w:ascii="Arial" w:hAnsi="Arial" w:cs="Arial"/>
          <w:b/>
          <w:bCs/>
          <w:sz w:val="18"/>
          <w:szCs w:val="18"/>
        </w:rPr>
        <w:t>z 26.07.2021</w:t>
      </w:r>
    </w:p>
    <w:bookmarkEnd w:id="0"/>
    <w:p w:rsidR="005662E5" w:rsidRPr="00BF557E" w:rsidRDefault="005662E5" w:rsidP="00BF557E">
      <w:pPr>
        <w:pStyle w:val="NormalnyWeb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F557E">
        <w:rPr>
          <w:rFonts w:ascii="Arial" w:hAnsi="Arial" w:cs="Arial"/>
          <w:b/>
          <w:sz w:val="18"/>
          <w:szCs w:val="18"/>
        </w:rPr>
        <w:t xml:space="preserve">Business Centre Club jednoznacznie negatywnie ocenia wniesiony przez posła PiS Marka Suskiego </w:t>
      </w:r>
      <w:r w:rsidRPr="00BF557E">
        <w:rPr>
          <w:rFonts w:ascii="Arial" w:hAnsi="Arial" w:cs="Arial"/>
          <w:b/>
          <w:i/>
          <w:sz w:val="18"/>
          <w:szCs w:val="18"/>
        </w:rPr>
        <w:t>projekt ustawy o zmianie ustawy o radiofonii i telewizji</w:t>
      </w:r>
      <w:r w:rsidRPr="00BF557E">
        <w:rPr>
          <w:rFonts w:ascii="Arial" w:hAnsi="Arial" w:cs="Arial"/>
          <w:b/>
          <w:sz w:val="18"/>
          <w:szCs w:val="18"/>
        </w:rPr>
        <w:t>. Naszym zdaniem, projekt nie realizuje założonych celów, a poszczególne jego normy nie są sformułowane prawidłowo lub stoją w sprzeczności z innymi elementami systemu prawnego, w tym z Konstytucją RP i innymi regulacjami wyższego rzędu, m.in. z prawem międzynarodowym.</w:t>
      </w:r>
    </w:p>
    <w:p w:rsidR="005662E5" w:rsidRPr="00BF557E" w:rsidRDefault="005662E5" w:rsidP="00BF557E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>Kluczowa z tego punktu widzenia jest Konstytucja Rzeczpospolitej Polskiej. W opinii BCC, zaproponowana regulacja może zostać uznana – w całości oraz w odniesieniu do poszczególnych zapisów – za sprzeczną</w:t>
      </w:r>
      <w:r w:rsidR="00BF557E" w:rsidRPr="00BF557E">
        <w:rPr>
          <w:rFonts w:ascii="Arial" w:hAnsi="Arial" w:cs="Arial"/>
          <w:sz w:val="18"/>
          <w:szCs w:val="18"/>
        </w:rPr>
        <w:t xml:space="preserve"> z zasadami ustawy zasadniczej.</w:t>
      </w:r>
      <w:r w:rsidRPr="00BF557E">
        <w:rPr>
          <w:rFonts w:ascii="Arial" w:hAnsi="Arial" w:cs="Arial"/>
          <w:sz w:val="18"/>
          <w:szCs w:val="18"/>
        </w:rPr>
        <w:t xml:space="preserve"> Projekt może być niezgodny z następującymi artykułami: 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art. 2 Konstytucji Rzeczypospolitej Polskiej, z którego wywodzona jest </w:t>
      </w:r>
      <w:r w:rsidRPr="00BF557E">
        <w:rPr>
          <w:rFonts w:ascii="Arial" w:hAnsi="Arial" w:cs="Arial"/>
          <w:b/>
          <w:bCs/>
          <w:sz w:val="18"/>
          <w:szCs w:val="18"/>
        </w:rPr>
        <w:t>zasada ochrony praw słusznie nabytych</w:t>
      </w:r>
      <w:r w:rsidRPr="00BF557E">
        <w:rPr>
          <w:rFonts w:ascii="Arial" w:hAnsi="Arial" w:cs="Arial"/>
          <w:sz w:val="18"/>
          <w:szCs w:val="18"/>
        </w:rPr>
        <w:t xml:space="preserve"> (zwłaszcza w odniesieniu do stosowania Projektu do podmiotów, które już uzyskały koncesję),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art. 14 Konstytucji Rzeczypospolitej Polskiej, który traktuje o </w:t>
      </w:r>
      <w:r w:rsidRPr="00BF557E">
        <w:rPr>
          <w:rFonts w:ascii="Arial" w:hAnsi="Arial" w:cs="Arial"/>
          <w:b/>
          <w:bCs/>
          <w:sz w:val="18"/>
          <w:szCs w:val="18"/>
        </w:rPr>
        <w:t>zasadzie wolności prasy i innych środków społecznego przekazu</w:t>
      </w:r>
      <w:r w:rsidRPr="00BF557E">
        <w:rPr>
          <w:rFonts w:ascii="Arial" w:hAnsi="Arial" w:cs="Arial"/>
          <w:sz w:val="18"/>
          <w:szCs w:val="18"/>
        </w:rPr>
        <w:t xml:space="preserve"> (zwłaszcza w zakresie w jakim miałby ograniczyć pluralizm medialny),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art. 22 Konstytucji Rzeczypospolitej Polskiej, mówiący o </w:t>
      </w:r>
      <w:r w:rsidRPr="00BF557E">
        <w:rPr>
          <w:rFonts w:ascii="Arial" w:hAnsi="Arial" w:cs="Arial"/>
          <w:b/>
          <w:bCs/>
          <w:sz w:val="18"/>
          <w:szCs w:val="18"/>
        </w:rPr>
        <w:t>zasadzie wolności działalności gospodarczej,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art. 31 ust. 3 Konstytucji Rzeczypospolitej Polskiej, z którego wywodzona jest </w:t>
      </w:r>
      <w:r w:rsidRPr="00BF557E">
        <w:rPr>
          <w:rFonts w:ascii="Arial" w:hAnsi="Arial" w:cs="Arial"/>
          <w:b/>
          <w:bCs/>
          <w:sz w:val="18"/>
          <w:szCs w:val="18"/>
        </w:rPr>
        <w:t>zasada ochrony wolności człowieka, tylko ze względu na ważny konkretny interes publiczny</w:t>
      </w:r>
      <w:r w:rsidRPr="00BF557E">
        <w:rPr>
          <w:rFonts w:ascii="Arial" w:hAnsi="Arial" w:cs="Arial"/>
          <w:sz w:val="18"/>
          <w:szCs w:val="18"/>
        </w:rPr>
        <w:t xml:space="preserve"> (zwłaszcza w zakresie w jakim z jednej strony interes ten nie został przez Projektodawcę sprecyzowany, a z drugiej strony ochrona interesu publicznego w postaci bezpieczeństwa państwa jest już zagwarantowane innymi obowiązującymi normami u.r.t.). </w:t>
      </w:r>
    </w:p>
    <w:p w:rsidR="005662E5" w:rsidRPr="00BF557E" w:rsidRDefault="005662E5" w:rsidP="00BF557E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Projekt zmian w ustawie o radiofonii i telewizji może być sprzeczny również z normami prawa międzynarodowego. Te są </w:t>
      </w:r>
      <w:r w:rsidRPr="00BF557E">
        <w:rPr>
          <w:rFonts w:ascii="Arial" w:hAnsi="Arial" w:cs="Arial"/>
          <w:b/>
          <w:bCs/>
          <w:sz w:val="18"/>
          <w:szCs w:val="18"/>
        </w:rPr>
        <w:t>nadrzędne i mają pierwszeństwo stosowania nad zapisami projektu, z powodu ich wcześniejszej ratyfikacji.</w:t>
      </w:r>
      <w:r w:rsidRPr="00BF557E">
        <w:rPr>
          <w:rFonts w:ascii="Arial" w:hAnsi="Arial" w:cs="Arial"/>
          <w:sz w:val="18"/>
          <w:szCs w:val="18"/>
        </w:rPr>
        <w:t xml:space="preserve"> Propozycje zmian naruszają traktat o funkcjonowaniu Unii Europejskiej (art. 49 w zw. z art. 54 TFUE) oraz Porozumienie o Europejskim Obszarze Gospodarczym, którego 3 art. mówi o zakazie podejmowania działań sprzecznych z celem porozumienia, art. 4 </w:t>
      </w:r>
      <w:proofErr w:type="spellStart"/>
      <w:r w:rsidRPr="00BF557E">
        <w:rPr>
          <w:rFonts w:ascii="Arial" w:hAnsi="Arial" w:cs="Arial"/>
          <w:sz w:val="18"/>
          <w:szCs w:val="18"/>
        </w:rPr>
        <w:t>p.e.o.g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. tj. zakazem dyskryminacji ze względu na przynależność państwową, art. 31 </w:t>
      </w:r>
      <w:proofErr w:type="spellStart"/>
      <w:r w:rsidRPr="00BF557E">
        <w:rPr>
          <w:rFonts w:ascii="Arial" w:hAnsi="Arial" w:cs="Arial"/>
          <w:sz w:val="18"/>
          <w:szCs w:val="18"/>
        </w:rPr>
        <w:t>p.e.o.g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. tj. zakazem ograniczania swobody przedsiębiorczości, art. 34 </w:t>
      </w:r>
      <w:proofErr w:type="spellStart"/>
      <w:r w:rsidRPr="00BF557E">
        <w:rPr>
          <w:rFonts w:ascii="Arial" w:hAnsi="Arial" w:cs="Arial"/>
          <w:sz w:val="18"/>
          <w:szCs w:val="18"/>
        </w:rPr>
        <w:t>p.e.o.g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. tj. nakazem stosowania norm </w:t>
      </w:r>
      <w:proofErr w:type="spellStart"/>
      <w:r w:rsidRPr="00BF557E">
        <w:rPr>
          <w:rFonts w:ascii="Arial" w:hAnsi="Arial" w:cs="Arial"/>
          <w:sz w:val="18"/>
          <w:szCs w:val="18"/>
        </w:rPr>
        <w:t>p.e.o.g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. również do spółek prawa handlowego, art. 40 </w:t>
      </w:r>
      <w:proofErr w:type="spellStart"/>
      <w:r w:rsidRPr="00BF557E">
        <w:rPr>
          <w:rFonts w:ascii="Arial" w:hAnsi="Arial" w:cs="Arial"/>
          <w:sz w:val="18"/>
          <w:szCs w:val="18"/>
        </w:rPr>
        <w:t>p.e.o.g</w:t>
      </w:r>
      <w:proofErr w:type="spellEnd"/>
      <w:r w:rsidRPr="00BF557E">
        <w:rPr>
          <w:rFonts w:ascii="Arial" w:hAnsi="Arial" w:cs="Arial"/>
          <w:sz w:val="18"/>
          <w:szCs w:val="18"/>
        </w:rPr>
        <w:t>. tj. zakazem ograniczeń przepływu kapitału.</w:t>
      </w:r>
    </w:p>
    <w:p w:rsidR="005662E5" w:rsidRPr="00BF557E" w:rsidRDefault="005662E5" w:rsidP="00BF557E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Oprócz Konstytucji RP i prawa międzynarodowego, BCC wskazuje, iż projekt można uznać za sprzeczny z już obowiązującymi przepisami prawa polskiego, tj.: 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b/>
          <w:bCs/>
          <w:sz w:val="18"/>
          <w:szCs w:val="18"/>
        </w:rPr>
        <w:t>Kodeksem postępowania administracyjnego</w:t>
      </w:r>
      <w:r w:rsidRPr="00BF557E">
        <w:rPr>
          <w:rFonts w:ascii="Arial" w:hAnsi="Arial" w:cs="Arial"/>
          <w:sz w:val="18"/>
          <w:szCs w:val="18"/>
        </w:rPr>
        <w:t xml:space="preserve"> (art. 8 § 2 ustawy z dnia 14 czerwca 1960 r. Kpa, </w:t>
      </w:r>
      <w:proofErr w:type="spellStart"/>
      <w:r w:rsidRPr="00BF557E">
        <w:rPr>
          <w:rFonts w:ascii="Arial" w:hAnsi="Arial" w:cs="Arial"/>
          <w:sz w:val="18"/>
          <w:szCs w:val="18"/>
        </w:rPr>
        <w:t>t.j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. Dz. U. z 2021 r. poz. 735) i zasadą trwałości ukształtowanych linii orzeczniczych. Projekt ma uzasadniać i skutkować, bez jakiegokolwiek przekonującego uzasadnienia, odejście od przyjętej i funkcjonującej od lat linii orzeczniczej przez Krajową Radę Radiofonii i Telewizji w odniesieniu do przyznawania koncesji </w:t>
      </w:r>
      <w:r w:rsidRPr="00BF557E">
        <w:rPr>
          <w:rFonts w:ascii="Arial" w:hAnsi="Arial" w:cs="Arial"/>
          <w:sz w:val="18"/>
          <w:szCs w:val="18"/>
        </w:rPr>
        <w:lastRenderedPageBreak/>
        <w:t>podmiotom kontrolowanym przez podmioty z Europejskiego Obszaru Gospodarczego. Taka zmiana jest w opinii BCC nieuzasadniona,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b/>
          <w:bCs/>
          <w:sz w:val="18"/>
          <w:szCs w:val="18"/>
        </w:rPr>
        <w:t>Prawa przedsiębiorców</w:t>
      </w:r>
      <w:r w:rsidRPr="00BF557E">
        <w:rPr>
          <w:rFonts w:ascii="Arial" w:hAnsi="Arial" w:cs="Arial"/>
          <w:sz w:val="18"/>
          <w:szCs w:val="18"/>
        </w:rPr>
        <w:t xml:space="preserve"> i dwóch zasad z nim zawartych: zasady pogłębiania zaufania, proporcjonalności, bezstronności i równego traktowania wywodzoną z art. 12 oraz zasadę pewności prawa wyrażoną w art. 14 </w:t>
      </w:r>
      <w:proofErr w:type="spellStart"/>
      <w:r w:rsidRPr="00BF557E">
        <w:rPr>
          <w:rFonts w:ascii="Arial" w:hAnsi="Arial" w:cs="Arial"/>
          <w:sz w:val="18"/>
          <w:szCs w:val="18"/>
        </w:rPr>
        <w:t>p.p</w:t>
      </w:r>
      <w:proofErr w:type="spellEnd"/>
      <w:r w:rsidRPr="00BF557E">
        <w:rPr>
          <w:rFonts w:ascii="Arial" w:hAnsi="Arial" w:cs="Arial"/>
          <w:sz w:val="18"/>
          <w:szCs w:val="18"/>
        </w:rPr>
        <w:t>.,</w:t>
      </w:r>
    </w:p>
    <w:p w:rsidR="005662E5" w:rsidRPr="00BF557E" w:rsidRDefault="005662E5" w:rsidP="00BF557E">
      <w:pPr>
        <w:pStyle w:val="NormalnyWeb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b/>
          <w:bCs/>
          <w:sz w:val="18"/>
          <w:szCs w:val="18"/>
        </w:rPr>
        <w:t>Ustawy o nabywaniu nieruchomości przez cudzoziemców</w:t>
      </w:r>
      <w:r w:rsidRPr="00BF557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F557E">
        <w:rPr>
          <w:rFonts w:ascii="Arial" w:hAnsi="Arial" w:cs="Arial"/>
          <w:sz w:val="18"/>
          <w:szCs w:val="18"/>
        </w:rPr>
        <w:t>t.j</w:t>
      </w:r>
      <w:proofErr w:type="spellEnd"/>
      <w:r w:rsidRPr="00BF557E">
        <w:rPr>
          <w:rFonts w:ascii="Arial" w:hAnsi="Arial" w:cs="Arial"/>
          <w:sz w:val="18"/>
          <w:szCs w:val="18"/>
        </w:rPr>
        <w:t>. Dz. U. z 2017 r. poz. 2278), która z pojemnej definicji cudzoziemca wyłączyła przedsiębiorców państw - stron umowy o Europejskim Obszarze Gospodarczym. BCC podkreśla, że skoro w tak newralgicznym sektorze jak gospodarka nieruchomościami ustawodawca zaakceptował wyłączenie w stosunku do podmiotów z Europejskiego Obszaru Gospodarczego, tym bardziej bezzasadnym jest uchylenie takiego wyłączenia w sektorze radiofonii i telewizji.</w:t>
      </w:r>
    </w:p>
    <w:p w:rsidR="005662E5" w:rsidRPr="00BF557E" w:rsidRDefault="005662E5" w:rsidP="00BF557E">
      <w:pPr>
        <w:pStyle w:val="NormalnyWeb"/>
        <w:tabs>
          <w:tab w:val="left" w:pos="2731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Autorzy projektu wymieniają w jego uzasadnieniu następujące cele: zwiększenie bezpieczeństwa prawnego koncesjonariuszy, ochrona interesu publicznego w dziedzinie radiofonii i telewizji oraz zagwarantowanie równości praw i obowiązków dla spółek polskich i zagranicznych w tym obszarze. Podkreślają również, że „[…] </w:t>
      </w:r>
      <w:r w:rsidRPr="00BF557E">
        <w:rPr>
          <w:rFonts w:ascii="Arial" w:hAnsi="Arial" w:cs="Arial"/>
          <w:i/>
          <w:iCs/>
          <w:sz w:val="18"/>
          <w:szCs w:val="18"/>
        </w:rPr>
        <w:t>obserwowane w ostatnim czasie zwiększenie zagrożeń dla interesów państwa wynikające, z tzw. działań hybrydowych państw trzecich</w:t>
      </w:r>
      <w:r w:rsidRPr="00BF557E">
        <w:rPr>
          <w:rFonts w:ascii="Arial" w:hAnsi="Arial" w:cs="Arial"/>
          <w:sz w:val="18"/>
          <w:szCs w:val="18"/>
        </w:rPr>
        <w:t xml:space="preserve">”. W ocenie BCC, zmiana obowiązujących norm o koncesjach poprzez ograniczenie możliwości ich uzyskiwania w żadnym wypadku nie wpłynie pozytywnie na bezpieczeństwo prawne koncesjonariuszy. Przeciwnie – będzie skutkować po ich stronie powstaniem </w:t>
      </w:r>
      <w:proofErr w:type="spellStart"/>
      <w:r w:rsidRPr="00BF557E">
        <w:rPr>
          <w:rFonts w:ascii="Arial" w:hAnsi="Arial" w:cs="Arial"/>
          <w:sz w:val="18"/>
          <w:szCs w:val="18"/>
        </w:rPr>
        <w:t>ryzyk</w:t>
      </w:r>
      <w:proofErr w:type="spellEnd"/>
      <w:r w:rsidRPr="00BF557E">
        <w:rPr>
          <w:rFonts w:ascii="Arial" w:hAnsi="Arial" w:cs="Arial"/>
          <w:sz w:val="18"/>
          <w:szCs w:val="18"/>
        </w:rPr>
        <w:t xml:space="preserve"> utraty lub nieprzedłużenia koncesji w związku z ich strukturą własnościową – na którą de facto mogą mieć ograniczony wpływ.</w:t>
      </w:r>
    </w:p>
    <w:p w:rsidR="005662E5" w:rsidRPr="00BF557E" w:rsidRDefault="005662E5" w:rsidP="00BF557E">
      <w:pPr>
        <w:pStyle w:val="NormalnyWeb"/>
        <w:tabs>
          <w:tab w:val="left" w:pos="2731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>Co do zasad równości praw i obowiązków oraz ochrony interesu pub</w:t>
      </w:r>
      <w:r w:rsidR="00BF557E" w:rsidRPr="00BF557E">
        <w:rPr>
          <w:rFonts w:ascii="Arial" w:hAnsi="Arial" w:cs="Arial"/>
          <w:sz w:val="18"/>
          <w:szCs w:val="18"/>
        </w:rPr>
        <w:t xml:space="preserve">licznego, to </w:t>
      </w:r>
      <w:r w:rsidRPr="00BF557E">
        <w:rPr>
          <w:rFonts w:ascii="Arial" w:hAnsi="Arial" w:cs="Arial"/>
          <w:sz w:val="18"/>
          <w:szCs w:val="18"/>
        </w:rPr>
        <w:t>ograniczanie praw przyznanych dotychczas nie jest korzystnym rozwiązaniem, a interes publiczny w dziedzinie radiofonii i telewizji może być chroniony w inny sposób i przy użyciu bardziej proporcjonalnych metod. Istnieją już bowiem w polskim prawie normy umożliwiające cofnięcie koncesji (np. art. 38 ust. 2 pkt l u.r.t. umożliwiający cofnięcie koncesji jeśli „</w:t>
      </w:r>
      <w:r w:rsidRPr="00BF557E">
        <w:rPr>
          <w:rFonts w:ascii="Arial" w:hAnsi="Arial" w:cs="Arial"/>
          <w:i/>
          <w:iCs/>
          <w:sz w:val="18"/>
          <w:szCs w:val="18"/>
        </w:rPr>
        <w:t>rozpowszechnianie programu powoduje zagrożenie interesów kultury narodowej, bezpieczeństwa i obronności państwa lub narusza normy dobrego obyczaju</w:t>
      </w:r>
      <w:r w:rsidRPr="00BF557E">
        <w:rPr>
          <w:rFonts w:ascii="Arial" w:hAnsi="Arial" w:cs="Arial"/>
          <w:sz w:val="18"/>
          <w:szCs w:val="18"/>
        </w:rPr>
        <w:t>”).</w:t>
      </w:r>
    </w:p>
    <w:p w:rsidR="005662E5" w:rsidRPr="00BF557E" w:rsidRDefault="005662E5" w:rsidP="00BF557E">
      <w:pPr>
        <w:pStyle w:val="NormalnyWeb"/>
        <w:tabs>
          <w:tab w:val="left" w:pos="2731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>W uzasadnieniu do projektu czytamy, że głównym celem zmian jest uchylenie ryzyka „</w:t>
      </w:r>
      <w:r w:rsidRPr="00BF557E">
        <w:rPr>
          <w:rFonts w:ascii="Arial" w:hAnsi="Arial" w:cs="Arial"/>
          <w:i/>
          <w:iCs/>
          <w:sz w:val="18"/>
          <w:szCs w:val="18"/>
        </w:rPr>
        <w:t>przejęcia kontroli nad nadawcami TV przez dowolne podmioty spoza Unii Europejskiej, w tym podmioty z państw stanowiących istotne zagrożenie dla bezpieczeństwa państwa</w:t>
      </w:r>
      <w:r w:rsidRPr="00BF557E">
        <w:rPr>
          <w:rFonts w:ascii="Arial" w:hAnsi="Arial" w:cs="Arial"/>
          <w:sz w:val="18"/>
          <w:szCs w:val="18"/>
        </w:rPr>
        <w:t>”. W tym celu projektodawca zakłada „</w:t>
      </w:r>
      <w:r w:rsidRPr="00BF557E">
        <w:rPr>
          <w:rFonts w:ascii="Arial" w:hAnsi="Arial" w:cs="Arial"/>
          <w:i/>
          <w:iCs/>
          <w:sz w:val="18"/>
          <w:szCs w:val="18"/>
        </w:rPr>
        <w:t>doprecyzowanie regulacji</w:t>
      </w:r>
      <w:r w:rsidRPr="00BF557E">
        <w:rPr>
          <w:rFonts w:ascii="Arial" w:hAnsi="Arial" w:cs="Arial"/>
          <w:sz w:val="18"/>
          <w:szCs w:val="18"/>
        </w:rPr>
        <w:t>”, co naszym zdaniem jest zbędne, ponieważ aktualne prawo jest jasne i stosowane w sposób jednolity w odniesieniu do osób spoza granic RP i Europejskiego Obszaru Gospodarczego.</w:t>
      </w:r>
    </w:p>
    <w:p w:rsidR="005662E5" w:rsidRPr="00BF557E" w:rsidRDefault="005662E5" w:rsidP="00BF557E">
      <w:pPr>
        <w:pStyle w:val="NormalnyWeb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557E">
        <w:rPr>
          <w:rFonts w:ascii="Arial" w:hAnsi="Arial" w:cs="Arial"/>
          <w:sz w:val="18"/>
          <w:szCs w:val="18"/>
        </w:rPr>
        <w:t xml:space="preserve">W konsekwencji wszystkich powyższych okoliczności, BCC nie ma wątpliwości, że regulacja ta zasługuje na zdecydowanie negatywną ocenę. Założenia zmian w ustawie o radiofonii i telewizji są wadliwe, zaś proponowane rozwiązania nieadekwatne do wskazywanych celów. BCC proponuje przerwanie prac nad </w:t>
      </w:r>
      <w:r w:rsidRPr="00BF557E">
        <w:rPr>
          <w:rFonts w:ascii="Arial" w:hAnsi="Arial" w:cs="Arial"/>
          <w:i/>
          <w:sz w:val="18"/>
          <w:szCs w:val="18"/>
        </w:rPr>
        <w:t>projektem ustawy o zmianie ustawy o radiofonii i telewizji</w:t>
      </w:r>
      <w:r w:rsidRPr="00BF557E">
        <w:rPr>
          <w:rFonts w:ascii="Arial" w:hAnsi="Arial" w:cs="Arial"/>
          <w:sz w:val="18"/>
          <w:szCs w:val="18"/>
        </w:rPr>
        <w:t>, a w przypadku decyzji ustawodawcy o kontynuacji prac  – gruntowną jego przebudowę, w tym zmiany podstaw, założeń i poszczególnych rozwiązań.</w:t>
      </w:r>
    </w:p>
    <w:p w:rsidR="005662E5" w:rsidRDefault="00BF557E" w:rsidP="005662E5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Kontakt:</w:t>
      </w:r>
    </w:p>
    <w:p w:rsidR="00BF557E" w:rsidRPr="005662E5" w:rsidRDefault="00BF557E" w:rsidP="005662E5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5662E5" w:rsidRDefault="005662E5" w:rsidP="005662E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pl-PL"/>
        </w:rPr>
        <w:drawing>
          <wp:inline distT="0" distB="0" distL="0" distR="0">
            <wp:extent cx="580292" cy="872483"/>
            <wp:effectExtent l="0" t="0" r="0" b="4445"/>
            <wp:docPr id="1" name="Obraz 1" descr="C:\Users\emil.mucinski\Documents\BCC\ZDJECIA\EKSPERCI BCC\Bernatowicz Łuka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ZDJECIA\EKSPERCI BCC\Bernatowicz Łukas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3" cy="87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E5" w:rsidRDefault="005662E5" w:rsidP="005662E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</w:p>
    <w:p w:rsidR="005662E5" w:rsidRPr="00BF557E" w:rsidRDefault="005662E5" w:rsidP="005662E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b/>
          <w:sz w:val="16"/>
          <w:szCs w:val="18"/>
          <w:lang w:eastAsia="pl-PL"/>
        </w:rPr>
        <w:t>dr Łukasz Bernatowicz</w:t>
      </w:r>
    </w:p>
    <w:p w:rsidR="005662E5" w:rsidRPr="00BF557E" w:rsidRDefault="005662E5" w:rsidP="005662E5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wiceprezes BCC</w:t>
      </w:r>
    </w:p>
    <w:p w:rsidR="005662E5" w:rsidRPr="00BF557E" w:rsidRDefault="005662E5" w:rsidP="005662E5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wiceprzewodniczący RDS</w:t>
      </w:r>
    </w:p>
    <w:p w:rsidR="005662E5" w:rsidRPr="00BF557E" w:rsidRDefault="005662E5" w:rsidP="005662E5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>tel. 502 066 619</w:t>
      </w:r>
    </w:p>
    <w:p w:rsidR="005662E5" w:rsidRPr="00BF557E" w:rsidRDefault="005662E5" w:rsidP="005662E5">
      <w:pPr>
        <w:spacing w:after="0" w:line="240" w:lineRule="auto"/>
        <w:jc w:val="both"/>
        <w:rPr>
          <w:rFonts w:ascii="Arial" w:eastAsia="Calibri" w:hAnsi="Arial" w:cs="Arial"/>
          <w:sz w:val="16"/>
          <w:szCs w:val="18"/>
          <w:lang w:eastAsia="pl-PL"/>
        </w:rPr>
      </w:pPr>
      <w:r w:rsidRPr="00BF557E">
        <w:rPr>
          <w:rFonts w:ascii="Arial" w:eastAsia="Calibri" w:hAnsi="Arial" w:cs="Arial"/>
          <w:sz w:val="16"/>
          <w:szCs w:val="18"/>
          <w:lang w:eastAsia="pl-PL"/>
        </w:rPr>
        <w:t xml:space="preserve">e-mail: </w:t>
      </w:r>
      <w:hyperlink r:id="rId10" w:history="1">
        <w:r w:rsidRPr="00BF557E">
          <w:rPr>
            <w:rFonts w:ascii="Arial" w:eastAsia="Calibri" w:hAnsi="Arial" w:cs="Arial"/>
            <w:color w:val="0000FF"/>
            <w:sz w:val="16"/>
            <w:szCs w:val="18"/>
            <w:u w:val="single"/>
            <w:lang w:eastAsia="pl-PL"/>
          </w:rPr>
          <w:t>lukasz.bernatowicz@bcc.org.pl</w:t>
        </w:r>
      </w:hyperlink>
    </w:p>
    <w:p w:rsidR="005662E5" w:rsidRPr="00BF557E" w:rsidRDefault="005662E5" w:rsidP="005662E5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  <w:lang w:eastAsia="pl-PL"/>
        </w:rPr>
      </w:pPr>
    </w:p>
    <w:p w:rsidR="005662E5" w:rsidRPr="00BF557E" w:rsidRDefault="005662E5" w:rsidP="005662E5">
      <w:pPr>
        <w:spacing w:after="0" w:line="240" w:lineRule="auto"/>
        <w:jc w:val="both"/>
        <w:rPr>
          <w:rFonts w:ascii="Arial" w:hAnsi="Arial" w:cs="Arial"/>
          <w:sz w:val="16"/>
          <w:szCs w:val="18"/>
          <w:u w:val="single"/>
          <w:lang w:eastAsia="pl-PL"/>
        </w:rPr>
      </w:pPr>
    </w:p>
    <w:p w:rsidR="005662E5" w:rsidRPr="00BF557E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b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b/>
          <w:sz w:val="16"/>
          <w:szCs w:val="18"/>
          <w:lang w:eastAsia="ar-SA"/>
        </w:rPr>
        <w:t>Emil Muciński</w:t>
      </w:r>
    </w:p>
    <w:p w:rsidR="005662E5" w:rsidRPr="00BF557E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eastAsia="ar-SA"/>
        </w:rPr>
        <w:t>rzecznik, dyrektor Instytutu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 xml:space="preserve"> Interwencji Gospodarczych</w:t>
      </w:r>
    </w:p>
    <w:p w:rsidR="005662E5" w:rsidRPr="00BF557E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sz w:val="16"/>
          <w:szCs w:val="18"/>
          <w:lang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eastAsia="ar-SA"/>
        </w:rPr>
        <w:t>B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 xml:space="preserve">usiness 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>C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 xml:space="preserve">entre 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>C</w:t>
      </w:r>
      <w:r w:rsidRPr="00BF557E">
        <w:rPr>
          <w:rFonts w:ascii="Arial" w:eastAsia="Arial Unicode MS" w:hAnsi="Arial" w:cs="Arial"/>
          <w:sz w:val="16"/>
          <w:szCs w:val="18"/>
          <w:lang w:eastAsia="ar-SA"/>
        </w:rPr>
        <w:t>lub</w:t>
      </w:r>
    </w:p>
    <w:p w:rsidR="00435A1F" w:rsidRPr="00BF557E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>tel. 602 571</w:t>
      </w: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> </w:t>
      </w: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>395</w:t>
      </w: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 </w:t>
      </w:r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e-mail: </w:t>
      </w:r>
      <w:hyperlink r:id="rId11" w:history="1">
        <w:r w:rsidRPr="00BF557E">
          <w:rPr>
            <w:rFonts w:ascii="Arial" w:eastAsia="Arial Unicode MS" w:hAnsi="Arial" w:cs="Arial"/>
            <w:color w:val="146CB4"/>
            <w:sz w:val="16"/>
            <w:szCs w:val="18"/>
            <w:lang w:val="en-US" w:eastAsia="ar-SA"/>
          </w:rPr>
          <w:t>emil.mucinski@bcc.org.pl</w:t>
        </w:r>
      </w:hyperlink>
      <w:r w:rsidRPr="00BF557E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; </w:t>
      </w:r>
      <w:hyperlink r:id="rId12" w:history="1">
        <w:r w:rsidRPr="00BF557E">
          <w:rPr>
            <w:rFonts w:ascii="Arial" w:eastAsia="Arial Unicode MS" w:hAnsi="Arial" w:cs="Arial"/>
            <w:color w:val="146CB4"/>
            <w:sz w:val="16"/>
            <w:szCs w:val="18"/>
            <w:lang w:val="en-US" w:eastAsia="ar-SA"/>
          </w:rPr>
          <w:t>instytut@bcc.org.pl</w:t>
        </w:r>
      </w:hyperlink>
    </w:p>
    <w:p w:rsidR="005662E5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5662E5" w:rsidRPr="00A8175A" w:rsidRDefault="005662E5" w:rsidP="005662E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5662E5" w:rsidRPr="00543741" w:rsidRDefault="005662E5" w:rsidP="005662E5">
      <w:pP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3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4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5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</w:p>
    <w:p w:rsidR="005662E5" w:rsidRPr="005662E5" w:rsidRDefault="005662E5" w:rsidP="005662E5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sectPr w:rsidR="005662E5" w:rsidRPr="005662E5" w:rsidSect="00BF557E">
      <w:footerReference w:type="default" r:id="rId16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92" w:rsidRDefault="001F7F92" w:rsidP="005662E5">
      <w:pPr>
        <w:spacing w:after="0" w:line="240" w:lineRule="auto"/>
      </w:pPr>
      <w:r>
        <w:separator/>
      </w:r>
    </w:p>
  </w:endnote>
  <w:endnote w:type="continuationSeparator" w:id="0">
    <w:p w:rsidR="001F7F92" w:rsidRDefault="001F7F92" w:rsidP="0056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357395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5662E5" w:rsidRPr="005662E5" w:rsidRDefault="005662E5">
        <w:pPr>
          <w:pStyle w:val="Stopka"/>
          <w:jc w:val="right"/>
          <w:rPr>
            <w:sz w:val="18"/>
          </w:rPr>
        </w:pPr>
        <w:r w:rsidRPr="005662E5">
          <w:rPr>
            <w:sz w:val="18"/>
          </w:rPr>
          <w:fldChar w:fldCharType="begin"/>
        </w:r>
        <w:r w:rsidRPr="005662E5">
          <w:rPr>
            <w:sz w:val="18"/>
          </w:rPr>
          <w:instrText>PAGE   \* MERGEFORMAT</w:instrText>
        </w:r>
        <w:r w:rsidRPr="005662E5">
          <w:rPr>
            <w:sz w:val="18"/>
          </w:rPr>
          <w:fldChar w:fldCharType="separate"/>
        </w:r>
        <w:r w:rsidR="00BF557E">
          <w:rPr>
            <w:noProof/>
            <w:sz w:val="18"/>
          </w:rPr>
          <w:t>1</w:t>
        </w:r>
        <w:r w:rsidRPr="005662E5">
          <w:rPr>
            <w:sz w:val="18"/>
          </w:rPr>
          <w:fldChar w:fldCharType="end"/>
        </w:r>
      </w:p>
    </w:sdtContent>
  </w:sdt>
  <w:p w:rsidR="00DA5005" w:rsidRDefault="001F7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92" w:rsidRDefault="001F7F92" w:rsidP="005662E5">
      <w:pPr>
        <w:spacing w:after="0" w:line="240" w:lineRule="auto"/>
      </w:pPr>
      <w:r>
        <w:separator/>
      </w:r>
    </w:p>
  </w:footnote>
  <w:footnote w:type="continuationSeparator" w:id="0">
    <w:p w:rsidR="001F7F92" w:rsidRDefault="001F7F92" w:rsidP="0056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6E60"/>
    <w:multiLevelType w:val="hybridMultilevel"/>
    <w:tmpl w:val="CECABBA4"/>
    <w:lvl w:ilvl="0" w:tplc="24264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5"/>
    <w:rsid w:val="00007A99"/>
    <w:rsid w:val="001F7F92"/>
    <w:rsid w:val="005662E5"/>
    <w:rsid w:val="005E08B2"/>
    <w:rsid w:val="00B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E5"/>
  </w:style>
  <w:style w:type="character" w:styleId="Hipercze">
    <w:name w:val="Hyperlink"/>
    <w:basedOn w:val="Domylnaczcionkaakapitu"/>
    <w:uiPriority w:val="99"/>
    <w:unhideWhenUsed/>
    <w:rsid w:val="005662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566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2E5"/>
  </w:style>
  <w:style w:type="character" w:styleId="Hipercze">
    <w:name w:val="Hyperlink"/>
    <w:basedOn w:val="Domylnaczcionkaakapitu"/>
    <w:uiPriority w:val="99"/>
    <w:unhideWhenUsed/>
    <w:rsid w:val="005662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E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5662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cc.org.pl/strefa_eksperta/kontakty-do-eksperto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sinesscentreclub" TargetMode="External"/><Relationship Id="rId10" Type="http://schemas.openxmlformats.org/officeDocument/2006/relationships/hyperlink" Target="mailto:lukasz.bernatowicz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2021-07-30T13:37:00Z</dcterms:created>
  <dcterms:modified xsi:type="dcterms:W3CDTF">2021-07-30T14:01:00Z</dcterms:modified>
</cp:coreProperties>
</file>