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78" w:rsidRDefault="00172F78" w:rsidP="00172F78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0C2B3625" wp14:editId="70C8D306">
            <wp:extent cx="1939925" cy="2162810"/>
            <wp:effectExtent l="0" t="0" r="3175" b="8890"/>
            <wp:docPr id="2" name="Obraz 2" descr="Opis: 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78" w:rsidRPr="00E152D8" w:rsidRDefault="00172F78" w:rsidP="00172F78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4"/>
          <w:szCs w:val="20"/>
          <w:lang w:eastAsia="pl-PL"/>
        </w:rPr>
      </w:pPr>
      <w:r w:rsidRPr="00E152D8">
        <w:rPr>
          <w:rFonts w:ascii="Arial" w:eastAsia="Times New Roman" w:hAnsi="Arial" w:cs="Arial"/>
          <w:sz w:val="14"/>
          <w:szCs w:val="20"/>
          <w:lang w:eastAsia="pl-PL"/>
        </w:rPr>
        <w:t xml:space="preserve">Warszawa, </w:t>
      </w:r>
      <w:r>
        <w:rPr>
          <w:rFonts w:ascii="Arial" w:eastAsia="Times New Roman" w:hAnsi="Arial" w:cs="Arial"/>
          <w:sz w:val="14"/>
          <w:szCs w:val="20"/>
          <w:lang w:eastAsia="pl-PL"/>
        </w:rPr>
        <w:t>1</w:t>
      </w:r>
      <w:r>
        <w:rPr>
          <w:rFonts w:ascii="Arial" w:eastAsia="Times New Roman" w:hAnsi="Arial" w:cs="Arial"/>
          <w:sz w:val="14"/>
          <w:szCs w:val="20"/>
          <w:lang w:eastAsia="pl-PL"/>
        </w:rPr>
        <w:t xml:space="preserve">9 </w:t>
      </w:r>
      <w:r>
        <w:rPr>
          <w:rFonts w:ascii="Arial" w:eastAsia="Times New Roman" w:hAnsi="Arial" w:cs="Arial"/>
          <w:sz w:val="14"/>
          <w:szCs w:val="20"/>
          <w:lang w:eastAsia="pl-PL"/>
        </w:rPr>
        <w:t>sierpnia</w:t>
      </w:r>
      <w:r>
        <w:rPr>
          <w:rFonts w:ascii="Arial" w:eastAsia="Times New Roman" w:hAnsi="Arial" w:cs="Arial"/>
          <w:sz w:val="14"/>
          <w:szCs w:val="20"/>
          <w:lang w:eastAsia="pl-PL"/>
        </w:rPr>
        <w:t xml:space="preserve"> </w:t>
      </w:r>
      <w:r w:rsidRPr="00E152D8">
        <w:rPr>
          <w:rFonts w:ascii="Arial" w:eastAsia="Times New Roman" w:hAnsi="Arial" w:cs="Arial"/>
          <w:sz w:val="14"/>
          <w:szCs w:val="20"/>
          <w:lang w:eastAsia="pl-PL"/>
        </w:rPr>
        <w:t>2021 r.</w:t>
      </w:r>
    </w:p>
    <w:p w:rsidR="00172F78" w:rsidRDefault="00172F78" w:rsidP="00172F78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Opinia</w:t>
      </w:r>
    </w:p>
    <w:p w:rsidR="00172F78" w:rsidRDefault="00172F78" w:rsidP="00172F78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:rsidR="00172F78" w:rsidRPr="00172F78" w:rsidRDefault="00172F78" w:rsidP="00172F78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AB3152">
        <w:rPr>
          <w:rFonts w:ascii="Arial" w:hAnsi="Arial" w:cs="Arial"/>
          <w:bCs/>
          <w:sz w:val="18"/>
          <w:szCs w:val="18"/>
          <w:u w:val="single"/>
        </w:rPr>
        <w:t>dotyczy</w:t>
      </w:r>
      <w:r>
        <w:rPr>
          <w:rFonts w:ascii="Arial" w:hAnsi="Arial" w:cs="Arial"/>
          <w:bCs/>
          <w:sz w:val="18"/>
          <w:szCs w:val="18"/>
        </w:rPr>
        <w:t>:</w:t>
      </w:r>
      <w:r w:rsidRPr="00AB3152">
        <w:rPr>
          <w:rFonts w:ascii="Arial" w:hAnsi="Arial" w:cs="Arial"/>
          <w:bCs/>
          <w:sz w:val="18"/>
          <w:szCs w:val="18"/>
        </w:rPr>
        <w:t xml:space="preserve"> </w:t>
      </w:r>
      <w:bookmarkStart w:id="0" w:name="_GoBack"/>
      <w:r w:rsidRPr="00172F78">
        <w:rPr>
          <w:rFonts w:ascii="Arial" w:hAnsi="Arial" w:cs="Arial"/>
          <w:bCs/>
          <w:i/>
          <w:sz w:val="18"/>
          <w:szCs w:val="18"/>
        </w:rPr>
        <w:t>poselskiego projektu ustawy o zmianie ustawy o ograniczeniu handlu w niedziele i święta oraz w niektóre inne dni</w:t>
      </w:r>
    </w:p>
    <w:bookmarkEnd w:id="0"/>
    <w:p w:rsidR="00172F78" w:rsidRDefault="00172F78" w:rsidP="00172F7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F78" w:rsidRPr="00172F78" w:rsidRDefault="00172F78" w:rsidP="00172F78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Dobiegły końca konsultacje publiczne p</w:t>
      </w:r>
      <w:r w:rsidRPr="00172F7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oselskiego </w:t>
      </w:r>
      <w:r w:rsidRPr="00395850">
        <w:rPr>
          <w:rFonts w:ascii="Arial" w:eastAsia="Times New Roman" w:hAnsi="Arial" w:cs="Arial"/>
          <w:b/>
          <w:i/>
          <w:sz w:val="18"/>
          <w:szCs w:val="18"/>
          <w:lang w:eastAsia="pl-PL"/>
        </w:rPr>
        <w:t>projektu ustawy o zmianie ustawy o ograniczeniu handlu w niedziele i święta oraz w niektóre inne dni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. </w:t>
      </w:r>
      <w:r w:rsidRPr="00172F78">
        <w:rPr>
          <w:rFonts w:ascii="Arial" w:eastAsia="Times New Roman" w:hAnsi="Arial" w:cs="Arial"/>
          <w:b/>
          <w:sz w:val="18"/>
          <w:szCs w:val="18"/>
          <w:lang w:eastAsia="pl-PL"/>
        </w:rPr>
        <w:t>Business Centre Club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72F7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niezmiennie stoi na stanowisku, iż ustawa o ograniczeniu handlu w niedzielę i święta oraz niektóre inne dni jest rozwiązaniem nieproporcjonalnym, nieprzemyślanym i szkodliwym dla gospodarki, a </w:t>
      </w:r>
      <w:r w:rsidRPr="00172F7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procedowana obecnie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jej </w:t>
      </w:r>
      <w:r w:rsidRPr="00172F7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nowelizacja zmierza do dalszego, nieuzasadnionego ograniczenia możliwości skorzystania przez przedsiębiorców z </w:t>
      </w:r>
      <w:proofErr w:type="spellStart"/>
      <w:r w:rsidRPr="00172F78">
        <w:rPr>
          <w:rFonts w:ascii="Arial" w:eastAsia="Times New Roman" w:hAnsi="Arial" w:cs="Arial"/>
          <w:b/>
          <w:sz w:val="18"/>
          <w:szCs w:val="18"/>
          <w:lang w:eastAsia="pl-PL"/>
        </w:rPr>
        <w:t>wyłączeń</w:t>
      </w:r>
      <w:proofErr w:type="spellEnd"/>
      <w:r w:rsidRPr="00172F7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umożliwiających otwarcie p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lacówki handlowej w niedzielę.</w:t>
      </w:r>
    </w:p>
    <w:p w:rsidR="00172F78" w:rsidRPr="00172F78" w:rsidRDefault="00172F78" w:rsidP="00172F78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72F78" w:rsidRPr="00172F78" w:rsidRDefault="00172F78" w:rsidP="00172F78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Należy podkreślić, iż jeszcze przed wejściem w życie ustawy o ograniczeniu handlu w niedzielę i święta oraz niektóre inne dni, </w:t>
      </w:r>
      <w:r>
        <w:rPr>
          <w:rFonts w:ascii="Arial" w:eastAsia="Times New Roman" w:hAnsi="Arial" w:cs="Arial"/>
          <w:sz w:val="18"/>
          <w:szCs w:val="18"/>
          <w:lang w:eastAsia="pl-PL"/>
        </w:rPr>
        <w:t>BCC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zaproponował godzące wszystkie interesy rozwiązanie, które zagwarantowałoby pracownikom handlu obligatoryjnie dwie wolne niedziele w miesiącu dzięki odpowiedniej nowelizacji Kodeksu pracy,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>placówki handlowe m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ogłyby działać w niedziele, co 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>byłoby korzystne dla gospodarki i budżetu państwa. Takie rozwiązanie umożliwiłoby ochronę miejsc pracy pracowników handlu i byłoby odpowiedzią na gospodarcze oraz zdrowotne skutki epidemii COVID-19. Handel jest bowiem branżą o dużym znaczeniu dla rynku pracy w Polsce – w 2018 roku pracowało tam ponad 1,2 mln Polaków, co stanowiło około 10% wszystkich pracujących w sektorze prywatnym</w:t>
      </w:r>
      <w:r w:rsidRPr="00172F78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1"/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172F78" w:rsidRPr="00172F78" w:rsidRDefault="00172F78" w:rsidP="00172F78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72F78" w:rsidRPr="00172F78" w:rsidRDefault="00172F78" w:rsidP="00172F78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BCC,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podtrzymując powyższe stanowisko, apeluje o uchylenie ustawy  o ograniczeniu handlu w niedzielę 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święta oraz niektóre inne dni oraz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przyjęcie wskazanych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wyżej, racjonalnych rozwiązań.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>N</w:t>
      </w:r>
      <w:r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ie wprowadzając restrykcyjnych zakazów, </w:t>
      </w:r>
      <w:r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można </w:t>
      </w:r>
      <w:r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>stworzyć pracownikom handlu lepsze warunki do odpoczynku i poświęcenia więcej czasu rodzinie. To rozsądne i – co istotne – łatwe d</w:t>
      </w:r>
      <w:r w:rsidR="009A6674">
        <w:rPr>
          <w:rFonts w:ascii="Arial" w:eastAsia="Times New Roman" w:hAnsi="Arial" w:cs="Arial"/>
          <w:i/>
          <w:sz w:val="18"/>
          <w:szCs w:val="18"/>
          <w:lang w:eastAsia="pl-PL"/>
        </w:rPr>
        <w:t>o wprowadzenia rozwiązanie, nie</w:t>
      </w:r>
      <w:r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>obciążające dodatkowo polskiej gospodarki i niepogarszające jej konkurencyjności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– </w:t>
      </w:r>
      <w:r w:rsidR="009A6674">
        <w:rPr>
          <w:rFonts w:ascii="Arial" w:eastAsia="Times New Roman" w:hAnsi="Arial" w:cs="Arial"/>
          <w:sz w:val="18"/>
          <w:szCs w:val="18"/>
          <w:lang w:eastAsia="pl-PL"/>
        </w:rPr>
        <w:t>wyjaśnia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72F78">
        <w:rPr>
          <w:rFonts w:ascii="Arial" w:eastAsia="Times New Roman" w:hAnsi="Arial" w:cs="Arial"/>
          <w:b/>
          <w:sz w:val="18"/>
          <w:szCs w:val="18"/>
          <w:lang w:eastAsia="pl-PL"/>
        </w:rPr>
        <w:t>Radosław Płonka</w:t>
      </w:r>
      <w:r>
        <w:rPr>
          <w:rFonts w:ascii="Arial" w:eastAsia="Times New Roman" w:hAnsi="Arial" w:cs="Arial"/>
          <w:sz w:val="18"/>
          <w:szCs w:val="18"/>
          <w:lang w:eastAsia="pl-PL"/>
        </w:rPr>
        <w:t>, ekspert BCC ds. prawa gospodarczego.</w:t>
      </w:r>
    </w:p>
    <w:p w:rsidR="00172F78" w:rsidRPr="00172F78" w:rsidRDefault="00172F78" w:rsidP="00172F78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72F78" w:rsidRPr="00172F78" w:rsidRDefault="009A6674" w:rsidP="00172F78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>ieprawdziwe są twierdzenia projektodawcy zawarte w uzasadnieniu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projektu nowelizacji ustawy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iż, w wyniku wprowadzenia </w:t>
      </w:r>
      <w:r w:rsidR="00172F78"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>ustawy o ograniczeniu handlu w niedzielę i święta oraz niektóre inne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dni zaobserwowano pozytywne aspekty związane z sytuacją </w:t>
      </w:r>
      <w:proofErr w:type="spellStart"/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>mikroprzedsiębiorców</w:t>
      </w:r>
      <w:proofErr w:type="spellEnd"/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oraz małych sklepów. </w:t>
      </w: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ciągu 3 lat od wprowadzenia zakazu niedzielnego handlu ubyło aż 6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500 sklepów. Największy spadek zaliczyły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placówki 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>małe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a więc 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te, którym zakaz miał pomóc. Z raportu firmy Nielsen wynika, </w:t>
      </w:r>
      <w:r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ż w 2020 roku największy spadek dotknął 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właśnie tego segmentu handlu. Upadło aż 1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>670 małych sklepów. Liczba placówek handlowych j</w:t>
      </w:r>
      <w:r>
        <w:rPr>
          <w:rFonts w:ascii="Arial" w:eastAsia="Times New Roman" w:hAnsi="Arial" w:cs="Arial"/>
          <w:sz w:val="18"/>
          <w:szCs w:val="18"/>
          <w:lang w:eastAsia="pl-PL"/>
        </w:rPr>
        <w:t>est dziś szacowana na 99,4 tysię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>c</w:t>
      </w:r>
      <w:r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>. Kiedy wprowadzano zakaz handlu, było ich prawie 106 tysięcy.</w:t>
      </w:r>
      <w:r w:rsidR="00172F78" w:rsidRPr="00172F78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2"/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="00172F78"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>Działanie ustawy o ograniczeniu handlu w niedzielę wytworzyło nawyk wśród konsumentów kupowania większej ilości towaru w wielkopowierzchniowych placówkach handlowych w piątki i soboty (do czego też duże sieci handlowe bardzo aktywnie zachęcają kampaniami reklamowymi</w:t>
      </w:r>
      <w:r w:rsidRPr="009A667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„tanie soboty”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itp.) – </w:t>
      </w:r>
      <w:r w:rsidRPr="009A6674">
        <w:rPr>
          <w:rFonts w:ascii="Arial" w:eastAsia="Times New Roman" w:hAnsi="Arial" w:cs="Arial"/>
          <w:sz w:val="18"/>
          <w:szCs w:val="18"/>
          <w:lang w:eastAsia="pl-PL"/>
        </w:rPr>
        <w:t>mówi Radosław Płonka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– </w:t>
      </w:r>
      <w:r w:rsidR="00172F78"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Tracą na tym mali przedsiębiorcy, którzy przed obowiązywaniem </w:t>
      </w:r>
      <w:r w:rsidRPr="009A6674">
        <w:rPr>
          <w:rFonts w:ascii="Arial" w:eastAsia="Times New Roman" w:hAnsi="Arial" w:cs="Arial"/>
          <w:i/>
          <w:sz w:val="18"/>
          <w:szCs w:val="18"/>
          <w:lang w:eastAsia="pl-PL"/>
        </w:rPr>
        <w:t>ustawowego zakazu</w:t>
      </w:r>
      <w:r w:rsidR="00172F78"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>, bardzo często największe obroty notowali właśnie w niedziele. Obecnie niedzielne zakupy w małych sklepach ograniczają się do kupienia jedynie tego, czego ewentualnie zabraknie po sobotnich zakupach</w:t>
      </w:r>
      <w:r w:rsidR="00172F78" w:rsidRPr="00172F78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footnoteReference w:id="3"/>
      </w:r>
      <w:r w:rsidR="00172F78"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>. To doskonały przykład tego, jak nierozsądna ingerencja państwa w gospodarkę powoduje o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dwrotne do zamierzonych skutki – </w:t>
      </w:r>
      <w:r>
        <w:rPr>
          <w:rFonts w:ascii="Arial" w:eastAsia="Times New Roman" w:hAnsi="Arial" w:cs="Arial"/>
          <w:sz w:val="18"/>
          <w:szCs w:val="18"/>
          <w:lang w:eastAsia="pl-PL"/>
        </w:rPr>
        <w:t>wyjaśnia ekspert BCC.</w:t>
      </w:r>
    </w:p>
    <w:p w:rsidR="00172F78" w:rsidRPr="00172F78" w:rsidRDefault="00172F78" w:rsidP="00172F78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72F78" w:rsidRPr="00172F78" w:rsidRDefault="00172F78" w:rsidP="00172F78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Gołosłowne są </w:t>
      </w:r>
      <w:r w:rsidR="009A6674">
        <w:rPr>
          <w:rFonts w:ascii="Arial" w:eastAsia="Times New Roman" w:hAnsi="Arial" w:cs="Arial"/>
          <w:sz w:val="18"/>
          <w:szCs w:val="18"/>
          <w:lang w:eastAsia="pl-PL"/>
        </w:rPr>
        <w:t xml:space="preserve">również 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>tezy uzasadnienia projektu ustawy</w:t>
      </w:r>
      <w:r w:rsidR="009A667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zgodnie z którymi w wyniku wprowadzenia ustawy o ograniczeniu handlu w niedzielę i</w:t>
      </w:r>
      <w:r w:rsidR="009A6674">
        <w:rPr>
          <w:rFonts w:ascii="Arial" w:eastAsia="Times New Roman" w:hAnsi="Arial" w:cs="Arial"/>
          <w:sz w:val="18"/>
          <w:szCs w:val="18"/>
          <w:lang w:eastAsia="pl-PL"/>
        </w:rPr>
        <w:t xml:space="preserve"> święta oraz niektóre inne dni „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>zaobserwowano rozwój usług turystycznych, noclegowych, restauracyjnych</w:t>
      </w:r>
      <w:r w:rsidR="009A6674">
        <w:rPr>
          <w:rFonts w:ascii="Arial" w:eastAsia="Times New Roman" w:hAnsi="Arial" w:cs="Arial"/>
          <w:sz w:val="18"/>
          <w:szCs w:val="18"/>
          <w:lang w:eastAsia="pl-PL"/>
        </w:rPr>
        <w:t>”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>. Projektodawca nie przedstawił na tę okoliczność żadnych badań, czy analiz. Tymczasem</w:t>
      </w:r>
      <w:r w:rsidR="00395850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w związku z pandemią COVID-19, mówić należy o ogromnych stratach w tych branżach oraz o walce o przetrwanie. Surowe restrykcje związane z pandemią </w:t>
      </w:r>
      <w:proofErr w:type="spellStart"/>
      <w:r w:rsidRPr="00172F78">
        <w:rPr>
          <w:rFonts w:ascii="Arial" w:eastAsia="Times New Roman" w:hAnsi="Arial" w:cs="Arial"/>
          <w:sz w:val="18"/>
          <w:szCs w:val="18"/>
          <w:lang w:eastAsia="pl-PL"/>
        </w:rPr>
        <w:t>koronawirusa</w:t>
      </w:r>
      <w:proofErr w:type="spellEnd"/>
      <w:r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spowodowały bowiem m.in. bankructwo wielu </w:t>
      </w:r>
      <w:r w:rsidR="009A6674">
        <w:rPr>
          <w:rFonts w:ascii="Arial" w:eastAsia="Times New Roman" w:hAnsi="Arial" w:cs="Arial"/>
          <w:sz w:val="18"/>
          <w:szCs w:val="18"/>
          <w:lang w:eastAsia="pl-PL"/>
        </w:rPr>
        <w:t>restauracji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>, klubów i innych miejsc w wielu miastach w Polsce. Zamknęły się nawet takie lokale, które istniały kilkanaście lub kilkadziesiąt</w:t>
      </w:r>
      <w:r w:rsidR="00395850">
        <w:rPr>
          <w:rFonts w:ascii="Arial" w:eastAsia="Times New Roman" w:hAnsi="Arial" w:cs="Arial"/>
          <w:sz w:val="18"/>
          <w:szCs w:val="18"/>
          <w:lang w:eastAsia="pl-PL"/>
        </w:rPr>
        <w:t xml:space="preserve"> lat i doczekały się już miana kultowych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172F78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4"/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Pod koniec zeszłego roku, w hotelarstwie 38 </w:t>
      </w:r>
      <w:r w:rsidR="00395850">
        <w:rPr>
          <w:rFonts w:ascii="Arial" w:eastAsia="Times New Roman" w:hAnsi="Arial" w:cs="Arial"/>
          <w:sz w:val="18"/>
          <w:szCs w:val="18"/>
          <w:lang w:eastAsia="pl-PL"/>
        </w:rPr>
        <w:t xml:space="preserve">proc. </w:t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>pracowników straciło pracę</w:t>
      </w:r>
      <w:r w:rsidRPr="00172F78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5"/>
      </w:r>
      <w:r w:rsidRPr="00172F78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172F78" w:rsidRPr="00172F78" w:rsidRDefault="00172F78" w:rsidP="00172F78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72F78" w:rsidRPr="00172F78" w:rsidRDefault="00395850" w:rsidP="00172F78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</w:t>
      </w:r>
      <w:r w:rsidRPr="0039585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Nie mają pokrycia w faktach </w:t>
      </w:r>
      <w:r w:rsidR="00172F78"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także twierdzenia, iż projektowana ustawa nie rodzi skutków finansowych dla budżetu państwa. Skoro bowiem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skutkiem</w:t>
      </w:r>
      <w:r w:rsidR="00172F78"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obowiązywania ustawy jest zamykanie się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kolejnych </w:t>
      </w:r>
      <w:r w:rsidR="00172F78"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>małych sklepów, negatywny wpływ na budżet państwa jest oczywisty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</w:t>
      </w:r>
      <w:r w:rsidRPr="00395850">
        <w:rPr>
          <w:rFonts w:ascii="Arial" w:eastAsia="Times New Roman" w:hAnsi="Arial" w:cs="Arial"/>
          <w:sz w:val="18"/>
          <w:szCs w:val="18"/>
          <w:lang w:eastAsia="pl-PL"/>
        </w:rPr>
        <w:t>podkreśla Radosław Płonka</w:t>
      </w:r>
      <w:r w:rsidR="00172F78" w:rsidRPr="00172F78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72F78" w:rsidRPr="00172F78" w:rsidRDefault="00172F78" w:rsidP="00172F78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72F78" w:rsidRPr="00172F78" w:rsidRDefault="00395850" w:rsidP="00172F78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Przedstawiony 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>projekt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nowelizacji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ustawy nakłada na przedsiębiorców chcących skorzystać z </w:t>
      </w:r>
      <w:proofErr w:type="spellStart"/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>wyłączeń</w:t>
      </w:r>
      <w:proofErr w:type="spellEnd"/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zakazu handlu w niedzielę – pod rygorem kary grzywny aż do 100 000 zł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–</w:t>
      </w:r>
      <w:r w:rsidR="00172F78" w:rsidRPr="00172F78">
        <w:rPr>
          <w:rFonts w:ascii="Arial" w:eastAsia="Times New Roman" w:hAnsi="Arial" w:cs="Arial"/>
          <w:sz w:val="18"/>
          <w:szCs w:val="18"/>
          <w:lang w:eastAsia="pl-PL"/>
        </w:rPr>
        <w:t xml:space="preserve"> nakaz prowadzenia ewidencji miesięcznego przychodu ze sprzedaży, wprowadzając tym samym kolejny zbędny, biurokratyczny obowiązek. Stosowne ewidencje są już prowadzone na podstawie przepisów podatkowych i nieuzasadnione, a wręcz szkodliwe jest nakładanie na przedsiębiorców kolejnego obowiązku w tym zakresie.</w:t>
      </w:r>
    </w:p>
    <w:p w:rsidR="00172F78" w:rsidRDefault="00172F78" w:rsidP="00172F78">
      <w:pPr>
        <w:pStyle w:val="intro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172F78" w:rsidRDefault="00172F78" w:rsidP="00172F78">
      <w:pPr>
        <w:pStyle w:val="intro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u w:val="single"/>
        </w:rPr>
        <w:t>Kontakt</w:t>
      </w:r>
      <w:r>
        <w:rPr>
          <w:rFonts w:ascii="Arial" w:hAnsi="Arial" w:cs="Arial"/>
          <w:bCs/>
          <w:sz w:val="18"/>
          <w:szCs w:val="18"/>
        </w:rPr>
        <w:t>:</w:t>
      </w:r>
    </w:p>
    <w:p w:rsidR="00172F78" w:rsidRDefault="00172F78" w:rsidP="00172F78">
      <w:pPr>
        <w:pStyle w:val="intro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</w:p>
    <w:p w:rsidR="00172F78" w:rsidRDefault="00172F78" w:rsidP="00172F78">
      <w:pPr>
        <w:pStyle w:val="intro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6354861D" wp14:editId="3CA9E6F8">
            <wp:extent cx="914400" cy="1143000"/>
            <wp:effectExtent l="0" t="0" r="0" b="0"/>
            <wp:docPr id="6" name="Obraz 6" descr="C:\Users\emil.mucinski\Documents\BCC\ZDJECIA\EKSPERCI BCC\Płonka Radosław 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mil.mucinski\Documents\BCC\ZDJECIA\EKSPERCI BCC\Płonka Radosław portr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07" cy="114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78" w:rsidRDefault="00172F78" w:rsidP="00172F78">
      <w:pPr>
        <w:pStyle w:val="intro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</w:p>
    <w:p w:rsidR="00172F78" w:rsidRPr="00A22294" w:rsidRDefault="00172F78" w:rsidP="00172F78">
      <w:pPr>
        <w:tabs>
          <w:tab w:val="left" w:pos="1276"/>
        </w:tabs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A22294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Radosław Płonka</w:t>
      </w:r>
    </w:p>
    <w:p w:rsidR="00172F78" w:rsidRPr="00A22294" w:rsidRDefault="00172F78" w:rsidP="00172F78">
      <w:pPr>
        <w:tabs>
          <w:tab w:val="left" w:pos="1276"/>
        </w:tabs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 w:rsidRPr="00A22294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ekspert BCC ds. prawa gospodarczego</w:t>
      </w:r>
    </w:p>
    <w:p w:rsidR="00172F78" w:rsidRPr="00A22294" w:rsidRDefault="00172F78" w:rsidP="00172F78">
      <w:pPr>
        <w:tabs>
          <w:tab w:val="left" w:pos="1276"/>
        </w:tabs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tel.</w:t>
      </w:r>
      <w:r w:rsidRPr="00A22294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 xml:space="preserve"> 501 177 515</w:t>
      </w:r>
    </w:p>
    <w:p w:rsidR="00172F78" w:rsidRPr="00395850" w:rsidRDefault="00172F78" w:rsidP="00395850">
      <w:pPr>
        <w:tabs>
          <w:tab w:val="left" w:pos="1276"/>
        </w:tabs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e-mail:</w:t>
      </w:r>
      <w:r w:rsidRPr="00A22294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 xml:space="preserve"> </w:t>
      </w:r>
      <w:hyperlink r:id="rId9" w:history="1">
        <w:r w:rsidRPr="0081379E">
          <w:rPr>
            <w:rStyle w:val="Hipercze"/>
            <w:rFonts w:ascii="Arial" w:eastAsia="Calibri" w:hAnsi="Arial" w:cs="Arial"/>
            <w:bCs/>
            <w:sz w:val="18"/>
            <w:szCs w:val="18"/>
            <w:lang w:eastAsia="pl-PL"/>
          </w:rPr>
          <w:t>radoslaw.plonka@bcc.org.pl</w:t>
        </w:r>
      </w:hyperlink>
    </w:p>
    <w:p w:rsidR="00172F78" w:rsidRDefault="00172F78" w:rsidP="00172F78">
      <w:pPr>
        <w:suppressAutoHyphens/>
        <w:spacing w:after="0" w:line="100" w:lineRule="atLeas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72F78" w:rsidRDefault="00172F78" w:rsidP="00172F78">
      <w:pPr>
        <w:suppressAutoHyphens/>
        <w:spacing w:after="0"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  <w:r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:rsidR="00172F78" w:rsidRDefault="00172F78" w:rsidP="00172F78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 xml:space="preserve">rzecznik, dyrektor Instytutu Interwencji Gospodarczych </w:t>
      </w:r>
    </w:p>
    <w:p w:rsidR="00172F78" w:rsidRDefault="00172F78" w:rsidP="00172F78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>Business Centre Club</w:t>
      </w:r>
    </w:p>
    <w:p w:rsidR="00172F78" w:rsidRDefault="00172F78" w:rsidP="00172F78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>
        <w:rPr>
          <w:rFonts w:ascii="Arial" w:eastAsia="Arial Unicode MS" w:hAnsi="Arial" w:cs="Arial"/>
          <w:sz w:val="18"/>
          <w:szCs w:val="18"/>
          <w:lang w:val="en-US" w:eastAsia="ar-SA"/>
        </w:rPr>
        <w:t>tel. 602 571 395</w:t>
      </w:r>
    </w:p>
    <w:p w:rsidR="00172F78" w:rsidRDefault="00172F78" w:rsidP="00172F78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10" w:history="1">
        <w:r>
          <w:rPr>
            <w:rStyle w:val="Hipercze"/>
            <w:rFonts w:ascii="Arial" w:eastAsia="Arial Unicode MS" w:hAnsi="Arial" w:cs="Arial"/>
            <w:sz w:val="18"/>
            <w:szCs w:val="18"/>
            <w:lang w:val="en-US" w:eastAsia="ar-SA"/>
          </w:rPr>
          <w:t>emil.mucinski@bcc.pl</w:t>
        </w:r>
      </w:hyperlink>
    </w:p>
    <w:p w:rsidR="00172F78" w:rsidRDefault="00172F78" w:rsidP="00172F78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172F78" w:rsidRDefault="00172F78" w:rsidP="00172F78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>
        <w:rPr>
          <w:rFonts w:ascii="Calibri" w:eastAsia="Calibri" w:hAnsi="Calibri" w:cs="Calibri"/>
          <w:b/>
          <w:i/>
          <w:color w:val="808080" w:themeColor="background1" w:themeShade="80"/>
          <w:sz w:val="10"/>
          <w:szCs w:val="14"/>
        </w:rPr>
        <w:t>Business Centre Club</w:t>
      </w:r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435A1F" w:rsidRDefault="00172F78" w:rsidP="00172F78">
      <w:pPr>
        <w:spacing w:after="0" w:line="240" w:lineRule="auto"/>
        <w:jc w:val="both"/>
      </w:pPr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Kontakty prasowe: </w:t>
      </w:r>
      <w:hyperlink r:id="rId11" w:history="1">
        <w:r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0"/>
            <w:szCs w:val="14"/>
            <w:u w:val="none"/>
          </w:rPr>
          <w:t>https://www.bcc.org.pl/strefa_eksperta/kontakty-do-ekspertow</w:t>
        </w:r>
      </w:hyperlink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, więcej: </w:t>
      </w:r>
      <w:hyperlink r:id="rId12" w:history="1">
        <w:r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0"/>
            <w:szCs w:val="14"/>
            <w:u w:val="none"/>
          </w:rPr>
          <w:t>https://www.bcc.org.pl/</w:t>
        </w:r>
      </w:hyperlink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oraz: </w:t>
      </w:r>
      <w:hyperlink r:id="rId13" w:history="1">
        <w:r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0"/>
            <w:szCs w:val="14"/>
            <w:u w:val="none"/>
          </w:rPr>
          <w:t>https://www.facebook.com/businesscentreclub</w:t>
        </w:r>
      </w:hyperlink>
    </w:p>
    <w:sectPr w:rsidR="00435A1F" w:rsidSect="00A62F39">
      <w:footerReference w:type="default" r:id="rId14"/>
      <w:pgSz w:w="11906" w:h="16838"/>
      <w:pgMar w:top="993" w:right="1417" w:bottom="127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60" w:rsidRDefault="00321F60" w:rsidP="00172F78">
      <w:pPr>
        <w:spacing w:after="0" w:line="240" w:lineRule="auto"/>
      </w:pPr>
      <w:r>
        <w:separator/>
      </w:r>
    </w:p>
  </w:endnote>
  <w:endnote w:type="continuationSeparator" w:id="0">
    <w:p w:rsidR="00321F60" w:rsidRDefault="00321F60" w:rsidP="0017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365943"/>
      <w:docPartObj>
        <w:docPartGallery w:val="Page Numbers (Bottom of Page)"/>
        <w:docPartUnique/>
      </w:docPartObj>
    </w:sdtPr>
    <w:sdtEndPr/>
    <w:sdtContent>
      <w:p w:rsidR="00E0100D" w:rsidRDefault="00321F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50">
          <w:rPr>
            <w:noProof/>
          </w:rPr>
          <w:t>1</w:t>
        </w:r>
        <w:r>
          <w:fldChar w:fldCharType="end"/>
        </w:r>
      </w:p>
    </w:sdtContent>
  </w:sdt>
  <w:p w:rsidR="00E0100D" w:rsidRDefault="00321F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60" w:rsidRDefault="00321F60" w:rsidP="00172F78">
      <w:pPr>
        <w:spacing w:after="0" w:line="240" w:lineRule="auto"/>
      </w:pPr>
      <w:r>
        <w:separator/>
      </w:r>
    </w:p>
  </w:footnote>
  <w:footnote w:type="continuationSeparator" w:id="0">
    <w:p w:rsidR="00321F60" w:rsidRDefault="00321F60" w:rsidP="00172F78">
      <w:pPr>
        <w:spacing w:after="0" w:line="240" w:lineRule="auto"/>
      </w:pPr>
      <w:r>
        <w:continuationSeparator/>
      </w:r>
    </w:p>
  </w:footnote>
  <w:footnote w:id="1">
    <w:p w:rsidR="00172F78" w:rsidRDefault="00172F78" w:rsidP="00172F78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https://stat.gov.pl/obszary-tematyczne/roczniki-statystyczne/roczniki-statystyczne/rocznik-statystyczny-pracy-2019,7,6.html</w:t>
      </w:r>
    </w:p>
  </w:footnote>
  <w:footnote w:id="2">
    <w:p w:rsidR="00172F78" w:rsidRPr="009A6674" w:rsidRDefault="00172F78" w:rsidP="009A6674">
      <w:pPr>
        <w:spacing w:after="0" w:line="240" w:lineRule="auto"/>
        <w:rPr>
          <w:sz w:val="12"/>
          <w:szCs w:val="20"/>
        </w:rPr>
      </w:pPr>
      <w:r w:rsidRPr="009A6674">
        <w:rPr>
          <w:sz w:val="14"/>
          <w:vertAlign w:val="superscript"/>
        </w:rPr>
        <w:footnoteRef/>
      </w:r>
      <w:r w:rsidRPr="009A6674">
        <w:rPr>
          <w:sz w:val="12"/>
          <w:szCs w:val="20"/>
        </w:rPr>
        <w:t xml:space="preserve"> https://www.money.pl/gospodarka/zakaz-handlu-mial-byc-dla-nich-kolem-ratunkowym-chyba-betonowowym-komentuja-mali-handlowcy-6645579108514656a.html</w:t>
      </w:r>
    </w:p>
  </w:footnote>
  <w:footnote w:id="3">
    <w:p w:rsidR="00172F78" w:rsidRPr="009A6674" w:rsidRDefault="00172F78" w:rsidP="009A6674">
      <w:pPr>
        <w:spacing w:after="0" w:line="240" w:lineRule="auto"/>
        <w:rPr>
          <w:sz w:val="12"/>
          <w:szCs w:val="20"/>
        </w:rPr>
      </w:pPr>
      <w:r w:rsidRPr="009A6674">
        <w:rPr>
          <w:sz w:val="14"/>
          <w:vertAlign w:val="superscript"/>
        </w:rPr>
        <w:footnoteRef/>
      </w:r>
      <w:r w:rsidRPr="009A6674">
        <w:rPr>
          <w:sz w:val="12"/>
          <w:szCs w:val="20"/>
        </w:rPr>
        <w:t xml:space="preserve"> https://www.money.pl/gospodarka/zakaz-handlu-mial-byc-dla-nich-kolem-ratunkowym-chyba-betonowowym-komentuja-mali-handlowcy-6645579108514656a.html</w:t>
      </w:r>
    </w:p>
  </w:footnote>
  <w:footnote w:id="4">
    <w:p w:rsidR="00172F78" w:rsidRPr="009A6674" w:rsidRDefault="00172F78" w:rsidP="009A6674">
      <w:pPr>
        <w:spacing w:after="0" w:line="240" w:lineRule="auto"/>
        <w:rPr>
          <w:sz w:val="12"/>
          <w:szCs w:val="20"/>
        </w:rPr>
      </w:pPr>
      <w:r w:rsidRPr="009A6674">
        <w:rPr>
          <w:sz w:val="14"/>
          <w:vertAlign w:val="superscript"/>
        </w:rPr>
        <w:footnoteRef/>
      </w:r>
      <w:r w:rsidRPr="009A6674">
        <w:rPr>
          <w:sz w:val="12"/>
          <w:szCs w:val="20"/>
        </w:rPr>
        <w:t xml:space="preserve"> https://wiadomosci.onet.pl/kraj/koronawirus-zlikwidowane-przez-pandemie-restauracje-i-bary/2scedw4</w:t>
      </w:r>
    </w:p>
  </w:footnote>
  <w:footnote w:id="5">
    <w:p w:rsidR="00172F78" w:rsidRDefault="00172F78" w:rsidP="009A6674">
      <w:pPr>
        <w:spacing w:after="0" w:line="240" w:lineRule="auto"/>
        <w:rPr>
          <w:sz w:val="20"/>
          <w:szCs w:val="20"/>
        </w:rPr>
      </w:pPr>
      <w:r w:rsidRPr="009A6674">
        <w:rPr>
          <w:sz w:val="14"/>
          <w:vertAlign w:val="superscript"/>
        </w:rPr>
        <w:footnoteRef/>
      </w:r>
      <w:r w:rsidRPr="009A6674">
        <w:rPr>
          <w:sz w:val="12"/>
          <w:szCs w:val="20"/>
        </w:rPr>
        <w:t xml:space="preserve"> https://www.money.pl/gospodarka/kryzys-w-hotelarstwie-38-proc-pracownikow-stracilo-prace-6577648661326688a.html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78"/>
    <w:rsid w:val="00007A99"/>
    <w:rsid w:val="00172F78"/>
    <w:rsid w:val="00321F60"/>
    <w:rsid w:val="00395850"/>
    <w:rsid w:val="005E08B2"/>
    <w:rsid w:val="009A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F7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2F78"/>
    <w:rPr>
      <w:color w:val="0000FF" w:themeColor="hyperlink"/>
      <w:u w:val="single"/>
    </w:rPr>
  </w:style>
  <w:style w:type="paragraph" w:customStyle="1" w:styleId="intro">
    <w:name w:val="intro"/>
    <w:basedOn w:val="Normalny"/>
    <w:rsid w:val="0017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F78"/>
  </w:style>
  <w:style w:type="paragraph" w:styleId="Tekstdymka">
    <w:name w:val="Balloon Text"/>
    <w:basedOn w:val="Normalny"/>
    <w:link w:val="TekstdymkaZnak"/>
    <w:uiPriority w:val="99"/>
    <w:semiHidden/>
    <w:unhideWhenUsed/>
    <w:rsid w:val="0017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F7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2F78"/>
    <w:rPr>
      <w:color w:val="0000FF" w:themeColor="hyperlink"/>
      <w:u w:val="single"/>
    </w:rPr>
  </w:style>
  <w:style w:type="paragraph" w:customStyle="1" w:styleId="intro">
    <w:name w:val="intro"/>
    <w:basedOn w:val="Normalny"/>
    <w:rsid w:val="0017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F78"/>
  </w:style>
  <w:style w:type="paragraph" w:styleId="Tekstdymka">
    <w:name w:val="Balloon Text"/>
    <w:basedOn w:val="Normalny"/>
    <w:link w:val="TekstdymkaZnak"/>
    <w:uiPriority w:val="99"/>
    <w:semiHidden/>
    <w:unhideWhenUsed/>
    <w:rsid w:val="0017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businesscentrecl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cc.org.pl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cc.org.pl/strefa_eksperta/kontakty-do-eksperto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mil.mucinski@bc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oslaw.plonka@bcc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Muciński Emil</cp:lastModifiedBy>
  <cp:revision>1</cp:revision>
  <dcterms:created xsi:type="dcterms:W3CDTF">2021-08-19T07:34:00Z</dcterms:created>
  <dcterms:modified xsi:type="dcterms:W3CDTF">2021-08-19T08:01:00Z</dcterms:modified>
</cp:coreProperties>
</file>