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D7" w:rsidRDefault="00E92FD7" w:rsidP="00E92FD7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4BA052E5" wp14:editId="60990118">
            <wp:extent cx="1940560" cy="2164080"/>
            <wp:effectExtent l="0" t="0" r="2540" b="762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D7" w:rsidRDefault="00E92FD7" w:rsidP="00E92FD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Warszawa, 31 sierpnia 2021 r.</w:t>
      </w:r>
    </w:p>
    <w:p w:rsidR="00E92FD7" w:rsidRDefault="000E5FA4" w:rsidP="00E92FD7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 xml:space="preserve">Polski Ład – </w:t>
      </w:r>
      <w:r w:rsidR="00594851"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Stanowisko</w:t>
      </w: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 xml:space="preserve"> BCC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E92FD7" w:rsidRPr="0089384A" w:rsidRDefault="00E92FD7" w:rsidP="00E92FD7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E92FD7">
        <w:rPr>
          <w:rFonts w:ascii="Arial" w:hAnsi="Arial" w:cs="Arial"/>
          <w:b/>
          <w:sz w:val="20"/>
          <w:szCs w:val="20"/>
        </w:rPr>
        <w:t xml:space="preserve">W lipcu br. Ministerstwo Finansów przedstawiło </w:t>
      </w:r>
      <w:r w:rsidRPr="00E92FD7">
        <w:rPr>
          <w:rFonts w:ascii="Arial" w:hAnsi="Arial" w:cs="Arial"/>
          <w:b/>
          <w:i/>
          <w:sz w:val="20"/>
          <w:szCs w:val="20"/>
        </w:rPr>
        <w:t xml:space="preserve">projekt ustawy o zmianie ustawy o podatku dochodowym </w:t>
      </w:r>
      <w:r w:rsidRPr="00E92FD7">
        <w:rPr>
          <w:rFonts w:ascii="Arial" w:eastAsia="Times New Roman" w:hAnsi="Arial" w:cs="Arial"/>
          <w:b/>
          <w:i/>
          <w:sz w:val="20"/>
          <w:szCs w:val="20"/>
          <w:lang w:eastAsia="pl-PL"/>
        </w:rPr>
        <w:t>od osób fizycznych, ustawy o podatku dochodowego od osób prawnych oraz niektórych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innych ustaw</w:t>
      </w:r>
      <w:r w:rsidRPr="00E92FD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 zawiera </w:t>
      </w:r>
      <w:r w:rsidRPr="0089384A">
        <w:rPr>
          <w:rFonts w:ascii="Arial" w:hAnsi="Arial" w:cs="Arial"/>
          <w:b/>
          <w:bCs/>
          <w:sz w:val="20"/>
          <w:szCs w:val="20"/>
        </w:rPr>
        <w:t xml:space="preserve">szereg rozwiązań o charakterze systemowym, które diametralnie zmieniają sytuację podatników – osób prowadzących działalność gospodarczą, pracodawców, pracowników czy firm. 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do idei, na aprobatę zasługują zmiany, których celem jest wspieranie innowacyjnych rozwiązań (np. ulga na prototyp, ulga na innowacyjnych pracowników), upraszczanie rozliczeń (np. wprowadzenie tzw. grup VAT) czy ograniczenia obowiązków administracyjno-prawnych (np. w zakresie niektórych obowiązków dokumentacyjnych wynikających z cen transferowych). 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Pozytywnie oceniamy propozycje podwyższenia kwoty wolnej od podatku oraz tzw. pierwszego progu podatkowego w podatku dochodowym od osób fizycznych, które nie były zmieniane od lat. Dobrze, że obecny rząd to dostrzegł. Zdaniem BCC, należy wprowadzić trwały mechanizm systematycznej </w:t>
      </w:r>
      <w:r w:rsidR="00DE3262">
        <w:rPr>
          <w:rFonts w:ascii="Arial" w:hAnsi="Arial" w:cs="Arial"/>
          <w:sz w:val="20"/>
          <w:szCs w:val="20"/>
        </w:rPr>
        <w:t>waloryzacji</w:t>
      </w:r>
      <w:r w:rsidR="00594851">
        <w:rPr>
          <w:rFonts w:ascii="Arial" w:hAnsi="Arial" w:cs="Arial"/>
          <w:sz w:val="20"/>
          <w:szCs w:val="20"/>
        </w:rPr>
        <w:t xml:space="preserve"> kwoty wolnej (np. corocznie o wskaźnik inflacji), inaczej – mamy nieformalną podwyżkę podatku co rok</w:t>
      </w:r>
      <w:r>
        <w:rPr>
          <w:rFonts w:ascii="Arial" w:hAnsi="Arial" w:cs="Arial"/>
          <w:sz w:val="20"/>
          <w:szCs w:val="20"/>
        </w:rPr>
        <w:t>.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706E30">
        <w:rPr>
          <w:rFonts w:ascii="Arial" w:hAnsi="Arial" w:cs="Arial"/>
          <w:b/>
          <w:bCs/>
          <w:sz w:val="20"/>
          <w:szCs w:val="20"/>
        </w:rPr>
        <w:t xml:space="preserve">Niemniej jednak, szereg zmian przewidzianych w projekcie </w:t>
      </w:r>
      <w:r w:rsidR="00594851">
        <w:rPr>
          <w:rFonts w:ascii="Arial" w:hAnsi="Arial" w:cs="Arial"/>
          <w:b/>
          <w:bCs/>
          <w:sz w:val="20"/>
          <w:szCs w:val="20"/>
        </w:rPr>
        <w:t xml:space="preserve">oceniamy </w:t>
      </w:r>
      <w:r w:rsidRPr="00706E30">
        <w:rPr>
          <w:rFonts w:ascii="Arial" w:hAnsi="Arial" w:cs="Arial"/>
          <w:b/>
          <w:bCs/>
          <w:sz w:val="20"/>
          <w:szCs w:val="20"/>
        </w:rPr>
        <w:t>krytycznie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706E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594851">
        <w:rPr>
          <w:rFonts w:ascii="Arial" w:hAnsi="Arial" w:cs="Arial"/>
          <w:b/>
          <w:bCs/>
          <w:sz w:val="20"/>
          <w:szCs w:val="20"/>
        </w:rPr>
        <w:t>ch</w:t>
      </w:r>
      <w:r w:rsidRPr="00706E30">
        <w:rPr>
          <w:rFonts w:ascii="Arial" w:hAnsi="Arial" w:cs="Arial"/>
          <w:b/>
          <w:bCs/>
          <w:sz w:val="20"/>
          <w:szCs w:val="20"/>
        </w:rPr>
        <w:t xml:space="preserve"> skutkiem będzie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06E3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2FD7" w:rsidRDefault="00E92FD7" w:rsidP="00E92FD7">
      <w:pPr>
        <w:pStyle w:val="Akapitzlist"/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939B6">
        <w:rPr>
          <w:rFonts w:ascii="Arial" w:hAnsi="Arial" w:cs="Arial"/>
          <w:b/>
          <w:bCs/>
          <w:sz w:val="20"/>
          <w:szCs w:val="20"/>
        </w:rPr>
        <w:t>wzrost obciążeń podatkowych dla polskich firm, w tym p</w:t>
      </w:r>
      <w:r w:rsidR="00594851">
        <w:rPr>
          <w:rFonts w:ascii="Arial" w:hAnsi="Arial" w:cs="Arial"/>
          <w:b/>
          <w:bCs/>
          <w:sz w:val="20"/>
          <w:szCs w:val="20"/>
        </w:rPr>
        <w:t>odatników rozliczających się wg</w:t>
      </w:r>
      <w:r w:rsidRPr="00F939B6">
        <w:rPr>
          <w:rFonts w:ascii="Arial" w:hAnsi="Arial" w:cs="Arial"/>
          <w:b/>
          <w:bCs/>
          <w:sz w:val="20"/>
          <w:szCs w:val="20"/>
        </w:rPr>
        <w:t xml:space="preserve"> tzw. podatku</w:t>
      </w:r>
      <w:r w:rsidR="00594851">
        <w:rPr>
          <w:rFonts w:ascii="Arial" w:hAnsi="Arial" w:cs="Arial"/>
          <w:b/>
          <w:bCs/>
          <w:sz w:val="20"/>
          <w:szCs w:val="20"/>
        </w:rPr>
        <w:t xml:space="preserve"> liniowego oraz ich pracowników,</w:t>
      </w:r>
    </w:p>
    <w:p w:rsidR="00E92FD7" w:rsidRPr="00F939B6" w:rsidRDefault="00E92FD7" w:rsidP="00E92FD7">
      <w:pPr>
        <w:pStyle w:val="Akapitzlist"/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teoretyczna atrakcyjność niektórych z proponowanych ulg / zachęt inwe</w:t>
      </w:r>
      <w:r w:rsidR="00594851">
        <w:rPr>
          <w:rFonts w:ascii="Arial" w:hAnsi="Arial" w:cs="Arial"/>
          <w:b/>
          <w:bCs/>
          <w:sz w:val="20"/>
          <w:szCs w:val="20"/>
        </w:rPr>
        <w:t>stycyjnych z uwagi na zaproponowane</w:t>
      </w:r>
      <w:r>
        <w:rPr>
          <w:rFonts w:ascii="Arial" w:hAnsi="Arial" w:cs="Arial"/>
          <w:b/>
          <w:bCs/>
          <w:sz w:val="20"/>
          <w:szCs w:val="20"/>
        </w:rPr>
        <w:t xml:space="preserve"> warunki / ograniczenia w korzystaniu z nich</w:t>
      </w:r>
      <w:r w:rsidR="00594851">
        <w:rPr>
          <w:rFonts w:ascii="Arial" w:hAnsi="Arial" w:cs="Arial"/>
          <w:b/>
          <w:bCs/>
          <w:sz w:val="20"/>
          <w:szCs w:val="20"/>
        </w:rPr>
        <w:t>.</w:t>
      </w:r>
    </w:p>
    <w:p w:rsidR="000E5FA4" w:rsidRDefault="00594851" w:rsidP="00E92FD7">
      <w:pPr>
        <w:spacing w:before="120" w:after="120" w:line="280" w:lineRule="exact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Ostatecznie</w:t>
      </w:r>
      <w:r w:rsidR="00E92FD7">
        <w:rPr>
          <w:rFonts w:ascii="Arial" w:hAnsi="Arial" w:cs="Arial"/>
          <w:b/>
          <w:bCs/>
          <w:sz w:val="20"/>
          <w:szCs w:val="20"/>
        </w:rPr>
        <w:t>, przepisy zawarte w projekcie przyczynią się do obniżenia konkurencyjności polskich firm w</w:t>
      </w:r>
      <w:r>
        <w:rPr>
          <w:rFonts w:ascii="Arial" w:hAnsi="Arial" w:cs="Arial"/>
          <w:b/>
          <w:bCs/>
          <w:sz w:val="20"/>
          <w:szCs w:val="20"/>
        </w:rPr>
        <w:t xml:space="preserve">obec </w:t>
      </w:r>
      <w:r w:rsidR="00E92FD7">
        <w:rPr>
          <w:rFonts w:ascii="Arial" w:hAnsi="Arial" w:cs="Arial"/>
          <w:b/>
          <w:bCs/>
          <w:sz w:val="20"/>
          <w:szCs w:val="20"/>
        </w:rPr>
        <w:t xml:space="preserve">firm z kapitałem zagranicznym. </w:t>
      </w:r>
      <w:r w:rsidR="00E92FD7" w:rsidRPr="00927A89">
        <w:rPr>
          <w:rFonts w:ascii="Arial" w:hAnsi="Arial" w:cs="Arial"/>
          <w:sz w:val="20"/>
          <w:szCs w:val="20"/>
        </w:rPr>
        <w:t>Wzrost obciążeń podatkowych nie wyraża się bowiem wyłącznie w fakcie podniesienia nominalnej stawki podatku, ale również w konstrukcji podstawy opodatkowania</w:t>
      </w:r>
      <w:r w:rsidR="00E92FD7" w:rsidRPr="000E5FA4">
        <w:rPr>
          <w:rFonts w:ascii="Arial" w:hAnsi="Arial" w:cs="Arial"/>
          <w:sz w:val="20"/>
          <w:szCs w:val="20"/>
        </w:rPr>
        <w:t>.</w:t>
      </w:r>
      <w:r w:rsidR="00E92FD7" w:rsidRPr="000E5FA4">
        <w:rPr>
          <w:rFonts w:ascii="Arial" w:hAnsi="Arial" w:cs="Arial"/>
          <w:bCs/>
          <w:sz w:val="20"/>
          <w:szCs w:val="20"/>
        </w:rPr>
        <w:t xml:space="preserve"> W szczególności, brak możliwości odliczenia składki na ubezpieczenie zdrowo</w:t>
      </w:r>
      <w:r w:rsidRPr="000E5FA4">
        <w:rPr>
          <w:rFonts w:ascii="Arial" w:hAnsi="Arial" w:cs="Arial"/>
          <w:bCs/>
          <w:sz w:val="20"/>
          <w:szCs w:val="20"/>
        </w:rPr>
        <w:t xml:space="preserve">tne oraz </w:t>
      </w:r>
      <w:r w:rsidR="00E92FD7" w:rsidRPr="000E5FA4">
        <w:rPr>
          <w:rFonts w:ascii="Arial" w:hAnsi="Arial" w:cs="Arial"/>
          <w:bCs/>
          <w:sz w:val="20"/>
          <w:szCs w:val="20"/>
        </w:rPr>
        <w:t>brak limitowania jej wysokości spowoduje faktyczny wzrost podatków dla jednego z najprężniej rozwijających się sektorów gospodarki czyli mikro, małych i średnich przedsiębiorstw.</w:t>
      </w:r>
      <w:r w:rsidR="00E92FD7" w:rsidRPr="00BF4D9F">
        <w:rPr>
          <w:rFonts w:ascii="Arial" w:hAnsi="Arial" w:cs="Arial"/>
          <w:bCs/>
          <w:i/>
          <w:sz w:val="20"/>
          <w:szCs w:val="20"/>
        </w:rPr>
        <w:t xml:space="preserve"> </w:t>
      </w:r>
      <w:r w:rsidR="000E5FA4">
        <w:rPr>
          <w:rFonts w:ascii="Arial" w:hAnsi="Arial" w:cs="Arial"/>
          <w:bCs/>
          <w:i/>
          <w:sz w:val="20"/>
          <w:szCs w:val="20"/>
        </w:rPr>
        <w:br/>
      </w:r>
      <w:r w:rsidR="000E5FA4" w:rsidRPr="000E5FA4">
        <w:rPr>
          <w:rFonts w:ascii="Arial" w:hAnsi="Arial" w:cs="Arial"/>
          <w:bCs/>
          <w:sz w:val="20"/>
          <w:szCs w:val="20"/>
        </w:rPr>
        <w:t xml:space="preserve">– </w:t>
      </w:r>
      <w:r w:rsidR="000E5FA4">
        <w:rPr>
          <w:rFonts w:ascii="Arial" w:hAnsi="Arial" w:cs="Arial"/>
          <w:bCs/>
          <w:i/>
          <w:sz w:val="20"/>
          <w:szCs w:val="20"/>
        </w:rPr>
        <w:t>Tak poważne zmiany w</w:t>
      </w:r>
      <w:r w:rsidR="000E5FA4" w:rsidRPr="00BF4D9F">
        <w:rPr>
          <w:rFonts w:ascii="Arial" w:hAnsi="Arial" w:cs="Arial"/>
          <w:bCs/>
          <w:i/>
          <w:sz w:val="20"/>
          <w:szCs w:val="20"/>
        </w:rPr>
        <w:t>prowadzane w tak wyjątkowej sytuacji jaką jest pandemia COVID-19 będ</w:t>
      </w:r>
      <w:r w:rsidR="000E5FA4">
        <w:rPr>
          <w:rFonts w:ascii="Arial" w:hAnsi="Arial" w:cs="Arial"/>
          <w:bCs/>
          <w:i/>
          <w:sz w:val="20"/>
          <w:szCs w:val="20"/>
        </w:rPr>
        <w:t>ą</w:t>
      </w:r>
      <w:r w:rsidR="000E5FA4" w:rsidRPr="00BF4D9F">
        <w:rPr>
          <w:rFonts w:ascii="Arial" w:hAnsi="Arial" w:cs="Arial"/>
          <w:bCs/>
          <w:i/>
          <w:sz w:val="20"/>
          <w:szCs w:val="20"/>
        </w:rPr>
        <w:t xml:space="preserve"> pogłębiać przeszkody dla odbicia gospodarczego. </w:t>
      </w:r>
      <w:r w:rsidR="00BF4D9F" w:rsidRPr="00BF4D9F">
        <w:rPr>
          <w:rFonts w:ascii="Arial" w:hAnsi="Arial" w:cs="Arial"/>
          <w:bCs/>
          <w:i/>
          <w:sz w:val="20"/>
          <w:szCs w:val="20"/>
        </w:rPr>
        <w:t>To nieetyczny pomysł, ponieważ obciąża przedsiębiorców, zwłaszcza mikro i małych, którzy wypruwali sobie żyły w czasie pandemii, żeby utrzymać firmy i pracowników</w:t>
      </w:r>
      <w:r w:rsidR="00BF4D9F">
        <w:rPr>
          <w:rFonts w:ascii="Arial" w:hAnsi="Arial" w:cs="Arial"/>
          <w:bCs/>
          <w:i/>
          <w:sz w:val="20"/>
          <w:szCs w:val="20"/>
        </w:rPr>
        <w:t xml:space="preserve"> – </w:t>
      </w:r>
      <w:r w:rsidR="00BF4D9F" w:rsidRPr="00BF4D9F">
        <w:rPr>
          <w:rFonts w:ascii="Arial" w:hAnsi="Arial" w:cs="Arial"/>
          <w:bCs/>
          <w:sz w:val="20"/>
          <w:szCs w:val="20"/>
        </w:rPr>
        <w:t xml:space="preserve">mówi </w:t>
      </w:r>
      <w:r w:rsidR="00BF4D9F" w:rsidRPr="00BF4D9F">
        <w:rPr>
          <w:rFonts w:ascii="Arial" w:hAnsi="Arial" w:cs="Arial"/>
          <w:b/>
          <w:bCs/>
          <w:sz w:val="20"/>
          <w:szCs w:val="20"/>
        </w:rPr>
        <w:t>Marek Goliszewski, prezes B</w:t>
      </w:r>
      <w:r w:rsidR="000E5FA4">
        <w:rPr>
          <w:rFonts w:ascii="Arial" w:hAnsi="Arial" w:cs="Arial"/>
          <w:b/>
          <w:bCs/>
          <w:sz w:val="20"/>
          <w:szCs w:val="20"/>
        </w:rPr>
        <w:t xml:space="preserve">usiness </w:t>
      </w:r>
      <w:r w:rsidR="00BF4D9F" w:rsidRPr="00BF4D9F">
        <w:rPr>
          <w:rFonts w:ascii="Arial" w:hAnsi="Arial" w:cs="Arial"/>
          <w:b/>
          <w:bCs/>
          <w:sz w:val="20"/>
          <w:szCs w:val="20"/>
        </w:rPr>
        <w:t>C</w:t>
      </w:r>
      <w:r w:rsidR="000E5FA4">
        <w:rPr>
          <w:rFonts w:ascii="Arial" w:hAnsi="Arial" w:cs="Arial"/>
          <w:b/>
          <w:bCs/>
          <w:sz w:val="20"/>
          <w:szCs w:val="20"/>
        </w:rPr>
        <w:t xml:space="preserve">entre </w:t>
      </w:r>
      <w:r w:rsidR="00BF4D9F" w:rsidRPr="00BF4D9F">
        <w:rPr>
          <w:rFonts w:ascii="Arial" w:hAnsi="Arial" w:cs="Arial"/>
          <w:b/>
          <w:bCs/>
          <w:sz w:val="20"/>
          <w:szCs w:val="20"/>
        </w:rPr>
        <w:t>C</w:t>
      </w:r>
      <w:r w:rsidR="000E5FA4">
        <w:rPr>
          <w:rFonts w:ascii="Arial" w:hAnsi="Arial" w:cs="Arial"/>
          <w:b/>
          <w:bCs/>
          <w:sz w:val="20"/>
          <w:szCs w:val="20"/>
        </w:rPr>
        <w:t>lub</w:t>
      </w:r>
      <w:r w:rsidR="00BF4D9F" w:rsidRPr="00BF4D9F">
        <w:rPr>
          <w:rFonts w:ascii="Arial" w:hAnsi="Arial" w:cs="Arial"/>
          <w:bCs/>
          <w:i/>
          <w:sz w:val="20"/>
          <w:szCs w:val="20"/>
        </w:rPr>
        <w:t xml:space="preserve">. 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BCC jest zdecydowanie przeciwn</w:t>
      </w:r>
      <w:r w:rsidR="00BF4D9F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 xml:space="preserve"> wprowadzeniu projektowanych zmian w </w:t>
      </w:r>
      <w:r w:rsidR="00BF4D9F">
        <w:rPr>
          <w:rFonts w:ascii="Arial" w:hAnsi="Arial" w:cs="Arial"/>
          <w:b/>
          <w:bCs/>
          <w:sz w:val="20"/>
          <w:szCs w:val="20"/>
        </w:rPr>
        <w:t>obecnym</w:t>
      </w:r>
      <w:r>
        <w:rPr>
          <w:rFonts w:ascii="Arial" w:hAnsi="Arial" w:cs="Arial"/>
          <w:b/>
          <w:bCs/>
          <w:sz w:val="20"/>
          <w:szCs w:val="20"/>
        </w:rPr>
        <w:t xml:space="preserve"> kształcie, </w:t>
      </w:r>
      <w:r w:rsidR="00BF4D9F">
        <w:rPr>
          <w:rFonts w:ascii="Arial" w:hAnsi="Arial" w:cs="Arial"/>
          <w:b/>
          <w:bCs/>
          <w:sz w:val="20"/>
          <w:szCs w:val="20"/>
        </w:rPr>
        <w:t xml:space="preserve">bez poprzedzenia ich </w:t>
      </w:r>
      <w:r>
        <w:rPr>
          <w:rFonts w:ascii="Arial" w:hAnsi="Arial" w:cs="Arial"/>
          <w:b/>
          <w:bCs/>
          <w:sz w:val="20"/>
          <w:szCs w:val="20"/>
        </w:rPr>
        <w:t>gruntowną analizą skutków.</w:t>
      </w:r>
    </w:p>
    <w:p w:rsidR="00561651" w:rsidRDefault="00E92FD7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B73DF5">
        <w:rPr>
          <w:rFonts w:ascii="Arial" w:hAnsi="Arial" w:cs="Arial"/>
          <w:sz w:val="20"/>
          <w:szCs w:val="20"/>
        </w:rPr>
        <w:t xml:space="preserve">To samo dotyczy zmian przewidzianych w podatku dochodowym od osób prawnych. Szereg </w:t>
      </w:r>
      <w:r>
        <w:rPr>
          <w:rFonts w:ascii="Arial" w:hAnsi="Arial" w:cs="Arial"/>
          <w:sz w:val="20"/>
          <w:szCs w:val="20"/>
        </w:rPr>
        <w:t xml:space="preserve">zaproponowanych </w:t>
      </w:r>
      <w:r w:rsidR="000E5FA4">
        <w:rPr>
          <w:rFonts w:ascii="Arial" w:hAnsi="Arial" w:cs="Arial"/>
          <w:sz w:val="20"/>
          <w:szCs w:val="20"/>
        </w:rPr>
        <w:t>rozwiązań</w:t>
      </w:r>
      <w:r>
        <w:rPr>
          <w:rFonts w:ascii="Arial" w:hAnsi="Arial" w:cs="Arial"/>
          <w:sz w:val="20"/>
          <w:szCs w:val="20"/>
        </w:rPr>
        <w:t xml:space="preserve">, niejednokrotnie zdefiniowanych w sposób nieostry i niejasny, </w:t>
      </w:r>
      <w:r w:rsidRPr="00005FD2">
        <w:rPr>
          <w:rFonts w:ascii="Arial" w:hAnsi="Arial" w:cs="Arial"/>
          <w:b/>
          <w:bCs/>
          <w:sz w:val="20"/>
          <w:szCs w:val="20"/>
        </w:rPr>
        <w:t>efektywnie doprowadzi do ograniczenia bazy kosztowej firm, doprowadzając do wzrostu obciążeń podatkowych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92FD7" w:rsidRDefault="00E92FD7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całokształtu </w:t>
      </w:r>
      <w:r w:rsidR="000E5FA4">
        <w:rPr>
          <w:rFonts w:ascii="Arial" w:hAnsi="Arial" w:cs="Arial"/>
          <w:sz w:val="20"/>
          <w:szCs w:val="20"/>
        </w:rPr>
        <w:t>propozycji podatkowych Polskiego Ładu</w:t>
      </w:r>
      <w:r>
        <w:rPr>
          <w:rFonts w:ascii="Arial" w:hAnsi="Arial" w:cs="Arial"/>
          <w:sz w:val="20"/>
          <w:szCs w:val="20"/>
        </w:rPr>
        <w:t xml:space="preserve"> wyłania się</w:t>
      </w:r>
      <w:r w:rsidR="005616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ocenie BCC</w:t>
      </w:r>
      <w:r w:rsidR="005616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niepokojąca tendencja do wyłączania w arbitralny</w:t>
      </w:r>
      <w:r w:rsidR="00561651">
        <w:rPr>
          <w:rFonts w:ascii="Arial" w:hAnsi="Arial" w:cs="Arial"/>
          <w:sz w:val="20"/>
          <w:szCs w:val="20"/>
        </w:rPr>
        <w:t xml:space="preserve"> sposób z kosztów podatkowych</w:t>
      </w:r>
      <w:r>
        <w:rPr>
          <w:rFonts w:ascii="Arial" w:hAnsi="Arial" w:cs="Arial"/>
          <w:sz w:val="20"/>
          <w:szCs w:val="20"/>
        </w:rPr>
        <w:t xml:space="preserve"> typowych kosztów działalności, których związek z uzyskiwanym przychodem jest często bezsporny i nie jest związany z działaniami o charakterze optymalizacyjnym. Jednocześnie, kolejny</w:t>
      </w:r>
      <w:r w:rsidR="00561651">
        <w:rPr>
          <w:rFonts w:ascii="Arial" w:hAnsi="Arial" w:cs="Arial"/>
          <w:sz w:val="20"/>
          <w:szCs w:val="20"/>
        </w:rPr>
        <w:t xml:space="preserve"> raz</w:t>
      </w:r>
      <w:r>
        <w:rPr>
          <w:rFonts w:ascii="Arial" w:hAnsi="Arial" w:cs="Arial"/>
          <w:sz w:val="20"/>
          <w:szCs w:val="20"/>
        </w:rPr>
        <w:t xml:space="preserve"> wprowadzane są przepisy o charakterze</w:t>
      </w:r>
      <w:r w:rsidR="00561651">
        <w:rPr>
          <w:rFonts w:ascii="Arial" w:hAnsi="Arial" w:cs="Arial"/>
          <w:sz w:val="20"/>
          <w:szCs w:val="20"/>
        </w:rPr>
        <w:t xml:space="preserve"> nieprecyzyjnym i nieostrym (</w:t>
      </w:r>
      <w:r>
        <w:rPr>
          <w:rFonts w:ascii="Arial" w:hAnsi="Arial" w:cs="Arial"/>
          <w:sz w:val="20"/>
          <w:szCs w:val="20"/>
        </w:rPr>
        <w:t>np. dotyczące tzw. „ukrytej dywidendy”), których stosowanie może spowodować nieproporcjonalne do celu skomplikowanie rozliczeń podatkowych.</w:t>
      </w:r>
    </w:p>
    <w:p w:rsidR="00E92FD7" w:rsidRDefault="00561651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Zaproponowane z kolei u</w:t>
      </w:r>
      <w:r w:rsidR="00E92FD7">
        <w:rPr>
          <w:rFonts w:ascii="Arial" w:hAnsi="Arial" w:cs="Arial"/>
          <w:sz w:val="20"/>
          <w:szCs w:val="20"/>
        </w:rPr>
        <w:t>lgi podatkowe</w:t>
      </w:r>
      <w:r>
        <w:rPr>
          <w:rFonts w:ascii="Arial" w:hAnsi="Arial" w:cs="Arial"/>
          <w:sz w:val="20"/>
          <w:szCs w:val="20"/>
        </w:rPr>
        <w:t>,</w:t>
      </w:r>
      <w:r w:rsidR="00E92FD7">
        <w:rPr>
          <w:rFonts w:ascii="Arial" w:hAnsi="Arial" w:cs="Arial"/>
          <w:sz w:val="20"/>
          <w:szCs w:val="20"/>
        </w:rPr>
        <w:t xml:space="preserve"> czy </w:t>
      </w:r>
      <w:r>
        <w:rPr>
          <w:rFonts w:ascii="Arial" w:hAnsi="Arial" w:cs="Arial"/>
          <w:sz w:val="20"/>
          <w:szCs w:val="20"/>
        </w:rPr>
        <w:t xml:space="preserve">preferencyjne reżimy podatkowe </w:t>
      </w:r>
      <w:r w:rsidR="00E92FD7">
        <w:rPr>
          <w:rFonts w:ascii="Arial" w:hAnsi="Arial" w:cs="Arial"/>
          <w:sz w:val="20"/>
          <w:szCs w:val="20"/>
        </w:rPr>
        <w:t>takie jak ulga konsolidacyjna, Polska Spółka Hol</w:t>
      </w:r>
      <w:r>
        <w:rPr>
          <w:rFonts w:ascii="Arial" w:hAnsi="Arial" w:cs="Arial"/>
          <w:sz w:val="20"/>
          <w:szCs w:val="20"/>
        </w:rPr>
        <w:t>dingowa czy tzw. „estoński CIT” –</w:t>
      </w:r>
      <w:r w:rsidR="00E92FD7">
        <w:rPr>
          <w:rFonts w:ascii="Arial" w:hAnsi="Arial" w:cs="Arial"/>
          <w:sz w:val="20"/>
          <w:szCs w:val="20"/>
        </w:rPr>
        <w:t xml:space="preserve"> choć kierunkowo słuszn</w:t>
      </w:r>
      <w:r>
        <w:rPr>
          <w:rFonts w:ascii="Arial" w:hAnsi="Arial" w:cs="Arial"/>
          <w:sz w:val="20"/>
          <w:szCs w:val="20"/>
        </w:rPr>
        <w:t xml:space="preserve">e –  </w:t>
      </w:r>
      <w:r w:rsidR="00E92FD7">
        <w:rPr>
          <w:rFonts w:ascii="Arial" w:hAnsi="Arial" w:cs="Arial"/>
          <w:sz w:val="20"/>
          <w:szCs w:val="20"/>
        </w:rPr>
        <w:t xml:space="preserve">to jednak bez </w:t>
      </w:r>
      <w:r>
        <w:rPr>
          <w:rFonts w:ascii="Arial" w:hAnsi="Arial" w:cs="Arial"/>
          <w:sz w:val="20"/>
          <w:szCs w:val="20"/>
        </w:rPr>
        <w:t xml:space="preserve">proponowanych przez BCC korekt, ze względu na przewidziane w nich warunki, </w:t>
      </w:r>
      <w:r w:rsidR="00E92FD7">
        <w:rPr>
          <w:rFonts w:ascii="Arial" w:hAnsi="Arial" w:cs="Arial"/>
          <w:sz w:val="20"/>
          <w:szCs w:val="20"/>
        </w:rPr>
        <w:t xml:space="preserve">będą obniżać </w:t>
      </w:r>
      <w:r>
        <w:rPr>
          <w:rFonts w:ascii="Arial" w:hAnsi="Arial" w:cs="Arial"/>
          <w:sz w:val="20"/>
          <w:szCs w:val="20"/>
        </w:rPr>
        <w:t xml:space="preserve">ich </w:t>
      </w:r>
      <w:r w:rsidR="00E92FD7">
        <w:rPr>
          <w:rFonts w:ascii="Arial" w:hAnsi="Arial" w:cs="Arial"/>
          <w:sz w:val="20"/>
          <w:szCs w:val="20"/>
        </w:rPr>
        <w:t>atrakcyjność</w:t>
      </w:r>
      <w:r>
        <w:rPr>
          <w:rFonts w:ascii="Arial" w:hAnsi="Arial" w:cs="Arial"/>
          <w:sz w:val="20"/>
          <w:szCs w:val="20"/>
        </w:rPr>
        <w:t xml:space="preserve">, ponieważ </w:t>
      </w:r>
      <w:r w:rsidR="00E92FD7">
        <w:rPr>
          <w:rFonts w:ascii="Arial" w:hAnsi="Arial" w:cs="Arial"/>
          <w:sz w:val="20"/>
          <w:szCs w:val="20"/>
        </w:rPr>
        <w:t xml:space="preserve">skorzystanie z </w:t>
      </w:r>
      <w:r>
        <w:rPr>
          <w:rFonts w:ascii="Arial" w:hAnsi="Arial" w:cs="Arial"/>
          <w:sz w:val="20"/>
          <w:szCs w:val="20"/>
        </w:rPr>
        <w:t>tych rozwiązań</w:t>
      </w:r>
      <w:r w:rsidR="00E92FD7">
        <w:rPr>
          <w:rFonts w:ascii="Arial" w:hAnsi="Arial" w:cs="Arial"/>
          <w:sz w:val="20"/>
          <w:szCs w:val="20"/>
        </w:rPr>
        <w:t xml:space="preserve"> przyniesie marginalny efekt finansowy. </w:t>
      </w:r>
      <w:r>
        <w:rPr>
          <w:rFonts w:ascii="Arial" w:hAnsi="Arial" w:cs="Arial"/>
          <w:sz w:val="20"/>
          <w:szCs w:val="20"/>
        </w:rPr>
        <w:t>N</w:t>
      </w:r>
      <w:r w:rsidR="00E92FD7">
        <w:rPr>
          <w:rFonts w:ascii="Arial" w:hAnsi="Arial" w:cs="Arial"/>
          <w:sz w:val="20"/>
          <w:szCs w:val="20"/>
        </w:rPr>
        <w:t xml:space="preserve">iekiedy </w:t>
      </w:r>
      <w:r w:rsidR="00AB3931">
        <w:rPr>
          <w:rFonts w:ascii="Arial" w:hAnsi="Arial" w:cs="Arial"/>
          <w:sz w:val="20"/>
          <w:szCs w:val="20"/>
        </w:rPr>
        <w:t xml:space="preserve">również </w:t>
      </w:r>
      <w:r w:rsidR="00E92FD7">
        <w:rPr>
          <w:rFonts w:ascii="Arial" w:hAnsi="Arial" w:cs="Arial"/>
          <w:sz w:val="20"/>
          <w:szCs w:val="20"/>
        </w:rPr>
        <w:t>cele ujęte projektowanymi przepisami wydają się być wewnętrznie sprzeczne</w:t>
      </w:r>
      <w:r w:rsidR="00AB3931">
        <w:rPr>
          <w:rFonts w:ascii="Arial" w:hAnsi="Arial" w:cs="Arial"/>
          <w:sz w:val="20"/>
          <w:szCs w:val="20"/>
        </w:rPr>
        <w:t>, co wi</w:t>
      </w:r>
      <w:r w:rsidR="00E92FD7">
        <w:rPr>
          <w:rFonts w:ascii="Arial" w:hAnsi="Arial" w:cs="Arial"/>
          <w:sz w:val="20"/>
          <w:szCs w:val="20"/>
        </w:rPr>
        <w:t>dać na przykładzie przepisów wyłączających możliwość ujęcia w kosztach podatkowych kosztów finansowania dłużnego finansującego nabycie udziałów, na tle przepisów kształtujących ulgę konsolidacyjną, które mają na ce</w:t>
      </w:r>
      <w:r w:rsidR="00AB3931">
        <w:rPr>
          <w:rFonts w:ascii="Arial" w:hAnsi="Arial" w:cs="Arial"/>
          <w:sz w:val="20"/>
          <w:szCs w:val="20"/>
        </w:rPr>
        <w:t>lu zachęc</w:t>
      </w:r>
      <w:r w:rsidR="00AA27E9">
        <w:rPr>
          <w:rFonts w:ascii="Arial" w:hAnsi="Arial" w:cs="Arial"/>
          <w:sz w:val="20"/>
          <w:szCs w:val="20"/>
        </w:rPr>
        <w:t>a</w:t>
      </w:r>
      <w:r w:rsidR="00AB3931">
        <w:rPr>
          <w:rFonts w:ascii="Arial" w:hAnsi="Arial" w:cs="Arial"/>
          <w:sz w:val="20"/>
          <w:szCs w:val="20"/>
        </w:rPr>
        <w:t>ć p</w:t>
      </w:r>
      <w:r w:rsidR="00E92FD7">
        <w:rPr>
          <w:rFonts w:ascii="Arial" w:hAnsi="Arial" w:cs="Arial"/>
          <w:sz w:val="20"/>
          <w:szCs w:val="20"/>
        </w:rPr>
        <w:t>olski</w:t>
      </w:r>
      <w:r w:rsidR="00AB3931">
        <w:rPr>
          <w:rFonts w:ascii="Arial" w:hAnsi="Arial" w:cs="Arial"/>
          <w:sz w:val="20"/>
          <w:szCs w:val="20"/>
        </w:rPr>
        <w:t xml:space="preserve">e </w:t>
      </w:r>
      <w:r w:rsidR="00E92FD7">
        <w:rPr>
          <w:rFonts w:ascii="Arial" w:hAnsi="Arial" w:cs="Arial"/>
          <w:sz w:val="20"/>
          <w:szCs w:val="20"/>
        </w:rPr>
        <w:t>firm</w:t>
      </w:r>
      <w:r w:rsidR="00AB3931">
        <w:rPr>
          <w:rFonts w:ascii="Arial" w:hAnsi="Arial" w:cs="Arial"/>
          <w:sz w:val="20"/>
          <w:szCs w:val="20"/>
        </w:rPr>
        <w:t>y</w:t>
      </w:r>
      <w:r w:rsidR="00E92FD7">
        <w:rPr>
          <w:rFonts w:ascii="Arial" w:hAnsi="Arial" w:cs="Arial"/>
          <w:sz w:val="20"/>
          <w:szCs w:val="20"/>
        </w:rPr>
        <w:t xml:space="preserve"> do ekspansji. </w:t>
      </w:r>
    </w:p>
    <w:p w:rsidR="00E92FD7" w:rsidRDefault="00AA27E9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Zdaniem BCC, także </w:t>
      </w:r>
      <w:r w:rsidR="00E92FD7">
        <w:rPr>
          <w:rFonts w:ascii="Arial" w:hAnsi="Arial" w:cs="Arial"/>
          <w:sz w:val="20"/>
          <w:szCs w:val="20"/>
        </w:rPr>
        <w:t xml:space="preserve">w obszarze podatku od towarów i usług projektowane rozwiązania lub ich elementy konstrukcyjne wymagają modyfikacji. </w:t>
      </w:r>
      <w:r>
        <w:rPr>
          <w:rFonts w:ascii="Arial" w:hAnsi="Arial" w:cs="Arial"/>
          <w:sz w:val="20"/>
          <w:szCs w:val="20"/>
        </w:rPr>
        <w:t>Choć tutaj również,</w:t>
      </w:r>
      <w:r w:rsidR="00E92FD7">
        <w:rPr>
          <w:rFonts w:ascii="Arial" w:hAnsi="Arial" w:cs="Arial"/>
          <w:sz w:val="20"/>
          <w:szCs w:val="20"/>
        </w:rPr>
        <w:t xml:space="preserve"> co do idei</w:t>
      </w:r>
      <w:r>
        <w:rPr>
          <w:rFonts w:ascii="Arial" w:hAnsi="Arial" w:cs="Arial"/>
          <w:sz w:val="20"/>
          <w:szCs w:val="20"/>
        </w:rPr>
        <w:t>,</w:t>
      </w:r>
      <w:r w:rsidR="00E92FD7">
        <w:rPr>
          <w:rFonts w:ascii="Arial" w:hAnsi="Arial" w:cs="Arial"/>
          <w:sz w:val="20"/>
          <w:szCs w:val="20"/>
        </w:rPr>
        <w:t xml:space="preserve"> przedstawione rozwiązania są słuszne, to już od strony </w:t>
      </w:r>
      <w:r>
        <w:rPr>
          <w:rFonts w:ascii="Arial" w:hAnsi="Arial" w:cs="Arial"/>
          <w:sz w:val="20"/>
          <w:szCs w:val="20"/>
        </w:rPr>
        <w:t xml:space="preserve">ich </w:t>
      </w:r>
      <w:r w:rsidR="00E92FD7">
        <w:rPr>
          <w:rFonts w:ascii="Arial" w:hAnsi="Arial" w:cs="Arial"/>
          <w:sz w:val="20"/>
          <w:szCs w:val="20"/>
        </w:rPr>
        <w:t>stosowania budzą szereg wątpliwości co do przejrzystości i proporcjonalności. Przykładowo, mimo iż kierunkowo słusznym jest wprowadzenie możliwości uzyskania zwrotu VAT w 15 dni, to jednak konieczność spełnienia aż 10 warunków</w:t>
      </w:r>
      <w:r>
        <w:rPr>
          <w:rFonts w:ascii="Arial" w:hAnsi="Arial" w:cs="Arial"/>
          <w:sz w:val="20"/>
          <w:szCs w:val="20"/>
        </w:rPr>
        <w:t>,</w:t>
      </w:r>
      <w:r w:rsidR="00E92FD7">
        <w:rPr>
          <w:rFonts w:ascii="Arial" w:hAnsi="Arial" w:cs="Arial"/>
          <w:sz w:val="20"/>
          <w:szCs w:val="20"/>
        </w:rPr>
        <w:t xml:space="preserve"> aby wdrożyć to rozwiązanie każe wątpić w jego szerszą dostępność.</w:t>
      </w:r>
    </w:p>
    <w:p w:rsidR="00E92FD7" w:rsidRDefault="00AA27E9" w:rsidP="00E92FD7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Krytycznie odnosimy się również do </w:t>
      </w:r>
      <w:r w:rsidR="00E92FD7">
        <w:rPr>
          <w:rFonts w:ascii="Arial" w:hAnsi="Arial" w:cs="Arial"/>
          <w:sz w:val="20"/>
          <w:szCs w:val="20"/>
        </w:rPr>
        <w:t>generaln</w:t>
      </w:r>
      <w:r>
        <w:rPr>
          <w:rFonts w:ascii="Arial" w:hAnsi="Arial" w:cs="Arial"/>
          <w:sz w:val="20"/>
          <w:szCs w:val="20"/>
        </w:rPr>
        <w:t xml:space="preserve">ego </w:t>
      </w:r>
      <w:r w:rsidR="00E92FD7">
        <w:rPr>
          <w:rFonts w:ascii="Arial" w:hAnsi="Arial" w:cs="Arial"/>
          <w:sz w:val="20"/>
          <w:szCs w:val="20"/>
        </w:rPr>
        <w:t>brak</w:t>
      </w:r>
      <w:r>
        <w:rPr>
          <w:rFonts w:ascii="Arial" w:hAnsi="Arial" w:cs="Arial"/>
          <w:sz w:val="20"/>
          <w:szCs w:val="20"/>
        </w:rPr>
        <w:t>u</w:t>
      </w:r>
      <w:r w:rsidR="00E92FD7">
        <w:rPr>
          <w:rFonts w:ascii="Arial" w:hAnsi="Arial" w:cs="Arial"/>
          <w:sz w:val="20"/>
          <w:szCs w:val="20"/>
        </w:rPr>
        <w:t xml:space="preserve"> przepisów przejściowych (poza nielicznymi wyjątkami)</w:t>
      </w:r>
      <w:r>
        <w:rPr>
          <w:rFonts w:ascii="Arial" w:hAnsi="Arial" w:cs="Arial"/>
          <w:sz w:val="20"/>
          <w:szCs w:val="20"/>
        </w:rPr>
        <w:t>,</w:t>
      </w:r>
      <w:r w:rsidR="00E92FD7">
        <w:rPr>
          <w:rFonts w:ascii="Arial" w:hAnsi="Arial" w:cs="Arial"/>
          <w:sz w:val="20"/>
          <w:szCs w:val="20"/>
        </w:rPr>
        <w:t xml:space="preserve"> co </w:t>
      </w:r>
      <w:r w:rsidR="000E5FA4">
        <w:rPr>
          <w:rFonts w:ascii="Arial" w:hAnsi="Arial" w:cs="Arial"/>
          <w:sz w:val="20"/>
          <w:szCs w:val="20"/>
        </w:rPr>
        <w:t xml:space="preserve">– </w:t>
      </w:r>
      <w:r w:rsidR="00E92FD7">
        <w:rPr>
          <w:rFonts w:ascii="Arial" w:hAnsi="Arial" w:cs="Arial"/>
          <w:sz w:val="20"/>
          <w:szCs w:val="20"/>
        </w:rPr>
        <w:t xml:space="preserve">w ocenie BCC </w:t>
      </w:r>
      <w:r w:rsidR="000E5FA4">
        <w:rPr>
          <w:rFonts w:ascii="Arial" w:hAnsi="Arial" w:cs="Arial"/>
          <w:sz w:val="20"/>
          <w:szCs w:val="20"/>
        </w:rPr>
        <w:t xml:space="preserve">– </w:t>
      </w:r>
      <w:bookmarkStart w:id="0" w:name="_GoBack"/>
      <w:bookmarkEnd w:id="0"/>
      <w:r w:rsidR="00E92FD7">
        <w:rPr>
          <w:rFonts w:ascii="Arial" w:hAnsi="Arial" w:cs="Arial"/>
          <w:sz w:val="20"/>
          <w:szCs w:val="20"/>
        </w:rPr>
        <w:t>w znaczący sposób ingerować będzie w prawa nabyte podatników i tym samym godzić w zasady demokratycznego państwa prawa.</w:t>
      </w:r>
    </w:p>
    <w:p w:rsidR="00AA27E9" w:rsidRDefault="00AA27E9" w:rsidP="00E92FD7">
      <w:pPr>
        <w:widowControl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E92FD7" w:rsidRDefault="00E92FD7" w:rsidP="00E92FD7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B855E5">
        <w:rPr>
          <w:rFonts w:ascii="Arial" w:hAnsi="Arial" w:cs="Arial"/>
          <w:bCs/>
          <w:sz w:val="18"/>
          <w:szCs w:val="18"/>
          <w:u w:val="single"/>
        </w:rPr>
        <w:t>Kontakt:</w:t>
      </w:r>
    </w:p>
    <w:p w:rsidR="00E92FD7" w:rsidRPr="00531B1C" w:rsidRDefault="00E92FD7" w:rsidP="00E92FD7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AA27E9" w:rsidRDefault="00AA27E9" w:rsidP="00AA27E9">
      <w:pPr>
        <w:spacing w:after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27E9">
        <w:rPr>
          <w:rFonts w:ascii="Arial" w:hAnsi="Arial" w:cs="Arial"/>
          <w:b/>
          <w:sz w:val="18"/>
          <w:szCs w:val="18"/>
          <w:lang w:eastAsia="pl-PL"/>
        </w:rPr>
        <w:t>Michał Borowski</w:t>
      </w:r>
    </w:p>
    <w:p w:rsidR="00AA27E9" w:rsidRPr="00AA27E9" w:rsidRDefault="00AA27E9" w:rsidP="00AA27E9">
      <w:pPr>
        <w:spacing w:after="0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minister ds. podatków w Gospodarczym Gabinecie Cieni BCC</w:t>
      </w:r>
    </w:p>
    <w:p w:rsidR="00AA27E9" w:rsidRPr="00AA27E9" w:rsidRDefault="00AA27E9" w:rsidP="00AA27E9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tel.</w:t>
      </w:r>
      <w:r w:rsidRPr="00AA27E9">
        <w:rPr>
          <w:rFonts w:ascii="Arial" w:hAnsi="Arial" w:cs="Arial"/>
          <w:sz w:val="18"/>
          <w:szCs w:val="18"/>
          <w:lang w:eastAsia="pl-PL"/>
        </w:rPr>
        <w:t xml:space="preserve"> 795 197 912</w:t>
      </w:r>
    </w:p>
    <w:p w:rsidR="00E92FD7" w:rsidRDefault="00AA27E9" w:rsidP="00AA27E9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e-mail:</w:t>
      </w:r>
      <w:r w:rsidRPr="00AA27E9">
        <w:rPr>
          <w:rFonts w:ascii="Arial" w:hAnsi="Arial" w:cs="Arial"/>
          <w:sz w:val="18"/>
          <w:szCs w:val="18"/>
          <w:lang w:eastAsia="pl-PL"/>
        </w:rPr>
        <w:t xml:space="preserve"> </w:t>
      </w:r>
      <w:hyperlink r:id="rId9" w:history="1">
        <w:r w:rsidRPr="00D95CA3">
          <w:rPr>
            <w:rStyle w:val="Hipercze"/>
            <w:rFonts w:ascii="Arial" w:hAnsi="Arial" w:cs="Arial"/>
            <w:sz w:val="18"/>
            <w:szCs w:val="18"/>
            <w:lang w:eastAsia="pl-PL"/>
          </w:rPr>
          <w:t>michal.borowski@bcc.org.pl</w:t>
        </w:r>
      </w:hyperlink>
    </w:p>
    <w:p w:rsidR="00AA27E9" w:rsidRPr="00531B1C" w:rsidRDefault="00AA27E9" w:rsidP="00E92FD7">
      <w:pPr>
        <w:spacing w:after="0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:rsidR="00E92FD7" w:rsidRPr="00531B1C" w:rsidRDefault="00E92FD7" w:rsidP="00E92FD7">
      <w:pPr>
        <w:suppressAutoHyphens/>
        <w:spacing w:after="0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E92FD7" w:rsidRPr="00531B1C" w:rsidRDefault="000E5FA4" w:rsidP="00E92FD7">
      <w:pPr>
        <w:suppressAutoHyphens/>
        <w:spacing w:after="0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 xml:space="preserve">wiceprezes, </w:t>
      </w:r>
      <w:r w:rsidR="00E92FD7" w:rsidRPr="00531B1C">
        <w:rPr>
          <w:rFonts w:ascii="Arial" w:eastAsia="Arial Unicode MS" w:hAnsi="Arial" w:cs="Arial"/>
          <w:sz w:val="18"/>
          <w:szCs w:val="18"/>
          <w:lang w:eastAsia="ar-SA"/>
        </w:rPr>
        <w:t>dyrektor Instytutu Interwencji Gospodarczych</w:t>
      </w:r>
      <w:r w:rsidR="002F7F19">
        <w:rPr>
          <w:rFonts w:ascii="Arial" w:eastAsia="Arial Unicode MS" w:hAnsi="Arial" w:cs="Arial"/>
          <w:sz w:val="18"/>
          <w:szCs w:val="18"/>
          <w:lang w:eastAsia="ar-SA"/>
        </w:rPr>
        <w:t xml:space="preserve"> BCC</w:t>
      </w:r>
    </w:p>
    <w:p w:rsidR="002F7F19" w:rsidRDefault="00E92FD7" w:rsidP="00E92FD7">
      <w:pPr>
        <w:suppressAutoHyphens/>
        <w:spacing w:after="0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>tel. 602 571</w:t>
      </w:r>
      <w:r w:rsidR="002F7F19">
        <w:rPr>
          <w:rFonts w:ascii="Arial" w:eastAsia="Arial Unicode MS" w:hAnsi="Arial" w:cs="Arial"/>
          <w:sz w:val="18"/>
          <w:szCs w:val="18"/>
          <w:lang w:val="en-US" w:eastAsia="ar-SA"/>
        </w:rPr>
        <w:t> </w:t>
      </w:r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>395</w:t>
      </w:r>
    </w:p>
    <w:p w:rsidR="00E92FD7" w:rsidRDefault="00E92FD7" w:rsidP="00E92FD7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 w:rsidRPr="00531B1C">
          <w:rPr>
            <w:rStyle w:val="Hipercze"/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</w:p>
    <w:p w:rsidR="000E5FA4" w:rsidRDefault="000E5FA4" w:rsidP="00E92FD7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0E5FA4" w:rsidRDefault="000E5FA4" w:rsidP="00E92FD7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0E5FA4" w:rsidRDefault="000E5FA4" w:rsidP="00E92FD7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0E5FA4" w:rsidRPr="00531B1C" w:rsidRDefault="000E5FA4" w:rsidP="00E92FD7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E92FD7" w:rsidRPr="000E5FA4" w:rsidRDefault="00E92FD7" w:rsidP="00E92FD7">
      <w:pPr>
        <w:suppressAutoHyphens/>
        <w:spacing w:after="0"/>
        <w:rPr>
          <w:rFonts w:ascii="Arial" w:eastAsia="Arial Unicode MS" w:hAnsi="Arial" w:cs="Arial"/>
          <w:color w:val="146CB4"/>
          <w:sz w:val="20"/>
          <w:szCs w:val="18"/>
          <w:lang w:val="en-US" w:eastAsia="ar-SA"/>
        </w:rPr>
      </w:pPr>
    </w:p>
    <w:p w:rsidR="00E92FD7" w:rsidRPr="000E5FA4" w:rsidRDefault="00E92FD7" w:rsidP="00E92FD7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</w:pPr>
      <w:r w:rsidRPr="000E5FA4">
        <w:rPr>
          <w:rFonts w:ascii="Calibri" w:eastAsia="Calibri" w:hAnsi="Calibri" w:cs="Calibri"/>
          <w:b/>
          <w:i/>
          <w:color w:val="808080" w:themeColor="background1" w:themeShade="80"/>
          <w:sz w:val="12"/>
          <w:szCs w:val="14"/>
        </w:rPr>
        <w:t>Business Centre Club</w:t>
      </w:r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Default="00E92FD7" w:rsidP="000E5FA4">
      <w:pPr>
        <w:spacing w:after="0" w:line="240" w:lineRule="auto"/>
        <w:jc w:val="both"/>
      </w:pPr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Kontakty prasowe: </w:t>
      </w:r>
      <w:hyperlink r:id="rId11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https://www.bcc.org.pl/strefa_eksperta/kontakty-do-ekspertow</w:t>
        </w:r>
      </w:hyperlink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, więcej: </w:t>
      </w:r>
      <w:hyperlink r:id="rId12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https://www.bcc.org.pl/</w:t>
        </w:r>
      </w:hyperlink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 oraz: </w:t>
      </w:r>
      <w:hyperlink r:id="rId13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https://www.facebook.com/businesscentreclub</w:t>
        </w:r>
      </w:hyperlink>
    </w:p>
    <w:sectPr w:rsidR="00435A1F" w:rsidSect="008C56A4">
      <w:footerReference w:type="default" r:id="rId14"/>
      <w:pgSz w:w="11906" w:h="16838"/>
      <w:pgMar w:top="1276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79" w:rsidRDefault="00A74C79">
      <w:pPr>
        <w:spacing w:after="0" w:line="240" w:lineRule="auto"/>
      </w:pPr>
      <w:r>
        <w:separator/>
      </w:r>
    </w:p>
  </w:endnote>
  <w:endnote w:type="continuationSeparator" w:id="0">
    <w:p w:rsidR="00A74C79" w:rsidRDefault="00A7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722699"/>
      <w:docPartObj>
        <w:docPartGallery w:val="Page Numbers (Bottom of Page)"/>
        <w:docPartUnique/>
      </w:docPartObj>
    </w:sdtPr>
    <w:sdtEndPr/>
    <w:sdtContent>
      <w:p w:rsidR="009A4D12" w:rsidRDefault="002F7F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A4">
          <w:rPr>
            <w:noProof/>
          </w:rPr>
          <w:t>2</w:t>
        </w:r>
        <w:r>
          <w:fldChar w:fldCharType="end"/>
        </w:r>
      </w:p>
    </w:sdtContent>
  </w:sdt>
  <w:p w:rsidR="009A4D12" w:rsidRDefault="00A74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79" w:rsidRDefault="00A74C79">
      <w:pPr>
        <w:spacing w:after="0" w:line="240" w:lineRule="auto"/>
      </w:pPr>
      <w:r>
        <w:separator/>
      </w:r>
    </w:p>
  </w:footnote>
  <w:footnote w:type="continuationSeparator" w:id="0">
    <w:p w:rsidR="00A74C79" w:rsidRDefault="00A7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F72"/>
    <w:multiLevelType w:val="hybridMultilevel"/>
    <w:tmpl w:val="183AD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71C34"/>
    <w:multiLevelType w:val="hybridMultilevel"/>
    <w:tmpl w:val="61D817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D7"/>
    <w:rsid w:val="00007A99"/>
    <w:rsid w:val="000E5FA4"/>
    <w:rsid w:val="002F7F19"/>
    <w:rsid w:val="00561651"/>
    <w:rsid w:val="00594851"/>
    <w:rsid w:val="005E08B2"/>
    <w:rsid w:val="00A74C79"/>
    <w:rsid w:val="00AA272A"/>
    <w:rsid w:val="00AA27E9"/>
    <w:rsid w:val="00AB3931"/>
    <w:rsid w:val="00BF4D9F"/>
    <w:rsid w:val="00DE3262"/>
    <w:rsid w:val="00E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2FD7"/>
    <w:rPr>
      <w:color w:val="0000FF"/>
      <w:u w:val="single"/>
    </w:rPr>
  </w:style>
  <w:style w:type="paragraph" w:styleId="NormalnyWeb">
    <w:name w:val="Normal (Web)"/>
    <w:basedOn w:val="Normalny"/>
    <w:semiHidden/>
    <w:rsid w:val="00E92F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FD7"/>
  </w:style>
  <w:style w:type="paragraph" w:styleId="Tekstdymka">
    <w:name w:val="Balloon Text"/>
    <w:basedOn w:val="Normalny"/>
    <w:link w:val="TekstdymkaZnak"/>
    <w:uiPriority w:val="99"/>
    <w:semiHidden/>
    <w:unhideWhenUsed/>
    <w:rsid w:val="00E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F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2FD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2FD7"/>
    <w:rPr>
      <w:color w:val="0000FF"/>
      <w:u w:val="single"/>
    </w:rPr>
  </w:style>
  <w:style w:type="paragraph" w:styleId="NormalnyWeb">
    <w:name w:val="Normal (Web)"/>
    <w:basedOn w:val="Normalny"/>
    <w:semiHidden/>
    <w:rsid w:val="00E92F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FD7"/>
  </w:style>
  <w:style w:type="paragraph" w:styleId="Tekstdymka">
    <w:name w:val="Balloon Text"/>
    <w:basedOn w:val="Normalny"/>
    <w:link w:val="TekstdymkaZnak"/>
    <w:uiPriority w:val="99"/>
    <w:semiHidden/>
    <w:unhideWhenUsed/>
    <w:rsid w:val="00E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F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2FD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businesscentreclu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cc.org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il.mucinski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borowski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5</cp:revision>
  <dcterms:created xsi:type="dcterms:W3CDTF">2021-08-30T16:01:00Z</dcterms:created>
  <dcterms:modified xsi:type="dcterms:W3CDTF">2021-08-31T08:16:00Z</dcterms:modified>
</cp:coreProperties>
</file>