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7CFA" w14:textId="77777777" w:rsidR="00BF53CF" w:rsidRDefault="00BF53CF" w:rsidP="00007340">
      <w:pPr>
        <w:spacing w:after="0" w:line="240" w:lineRule="auto"/>
        <w:rPr>
          <w:sz w:val="2"/>
          <w:szCs w:val="2"/>
        </w:rPr>
      </w:pPr>
      <w:r>
        <w:rPr>
          <w:noProof/>
          <w:sz w:val="2"/>
          <w:szCs w:val="2"/>
          <w:lang w:eastAsia="pl-PL"/>
        </w:rPr>
        <w:drawing>
          <wp:inline distT="0" distB="0" distL="0" distR="0" wp14:anchorId="2A7DC6E7" wp14:editId="36445CB1">
            <wp:extent cx="2238375" cy="1857375"/>
            <wp:effectExtent l="0" t="0" r="9525" b="0"/>
            <wp:docPr id="2" name="Obraz 2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34581" w14:textId="289010C5" w:rsidR="00BF53CF" w:rsidRDefault="00BF53CF" w:rsidP="00BF53CF">
      <w:pPr>
        <w:spacing w:after="0" w:line="240" w:lineRule="auto"/>
        <w:jc w:val="center"/>
        <w:rPr>
          <w:b/>
          <w:bCs/>
          <w:sz w:val="10"/>
        </w:rPr>
      </w:pPr>
    </w:p>
    <w:p w14:paraId="39E02777" w14:textId="03AC9909" w:rsidR="00007340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0F778F17" w14:textId="013D412B" w:rsidR="00007340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25F9CD0A" w14:textId="7B3BB7DF" w:rsidR="00007340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3D09D70B" w14:textId="3D8B87F4" w:rsidR="00007340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2CEB7601" w14:textId="601AE073" w:rsidR="00007340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02217EB0" w14:textId="5A05D06C" w:rsidR="00007340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2C1998B4" w14:textId="77777777" w:rsidR="00007340" w:rsidRPr="006044F9" w:rsidRDefault="00007340" w:rsidP="00BF53CF">
      <w:pPr>
        <w:spacing w:after="0" w:line="240" w:lineRule="auto"/>
        <w:jc w:val="center"/>
        <w:rPr>
          <w:b/>
          <w:bCs/>
          <w:sz w:val="10"/>
        </w:rPr>
      </w:pPr>
    </w:p>
    <w:p w14:paraId="5BAE5907" w14:textId="5FA91040" w:rsidR="00BF53CF" w:rsidRPr="00F77069" w:rsidRDefault="00BF53CF" w:rsidP="00BF53CF">
      <w:pPr>
        <w:pStyle w:val="Tekstpodstawowy2"/>
        <w:tabs>
          <w:tab w:val="left" w:pos="0"/>
          <w:tab w:val="left" w:pos="8647"/>
          <w:tab w:val="left" w:pos="9072"/>
        </w:tabs>
        <w:spacing w:after="120" w:line="360" w:lineRule="auto"/>
        <w:ind w:firstLine="0"/>
        <w:jc w:val="right"/>
        <w:rPr>
          <w:b w:val="0"/>
          <w:bCs w:val="0"/>
          <w:sz w:val="18"/>
        </w:rPr>
      </w:pPr>
      <w:r w:rsidRPr="00F77069">
        <w:rPr>
          <w:b w:val="0"/>
          <w:bCs w:val="0"/>
          <w:sz w:val="18"/>
        </w:rPr>
        <w:t xml:space="preserve">Warszawa, </w:t>
      </w:r>
      <w:r w:rsidR="004921FA">
        <w:rPr>
          <w:b w:val="0"/>
          <w:bCs w:val="0"/>
          <w:sz w:val="18"/>
          <w:lang w:val="pl-PL"/>
        </w:rPr>
        <w:t>14 października</w:t>
      </w:r>
      <w:r w:rsidR="001F2AB5">
        <w:rPr>
          <w:b w:val="0"/>
          <w:bCs w:val="0"/>
          <w:sz w:val="18"/>
          <w:lang w:val="pl-PL"/>
        </w:rPr>
        <w:t xml:space="preserve"> </w:t>
      </w:r>
      <w:r w:rsidRPr="00F77069">
        <w:rPr>
          <w:b w:val="0"/>
          <w:bCs w:val="0"/>
          <w:sz w:val="18"/>
          <w:lang w:val="pl-PL"/>
        </w:rPr>
        <w:t>2</w:t>
      </w:r>
      <w:r w:rsidRPr="00F77069">
        <w:rPr>
          <w:b w:val="0"/>
          <w:bCs w:val="0"/>
          <w:sz w:val="18"/>
        </w:rPr>
        <w:t>0</w:t>
      </w:r>
      <w:r>
        <w:rPr>
          <w:b w:val="0"/>
          <w:bCs w:val="0"/>
          <w:sz w:val="18"/>
          <w:lang w:val="pl-PL"/>
        </w:rPr>
        <w:t>2</w:t>
      </w:r>
      <w:r w:rsidR="00501BA5">
        <w:rPr>
          <w:b w:val="0"/>
          <w:bCs w:val="0"/>
          <w:sz w:val="18"/>
          <w:lang w:val="pl-PL"/>
        </w:rPr>
        <w:t>1</w:t>
      </w:r>
      <w:r w:rsidRPr="00F77069">
        <w:rPr>
          <w:b w:val="0"/>
          <w:bCs w:val="0"/>
          <w:sz w:val="18"/>
        </w:rPr>
        <w:t xml:space="preserve"> r.</w:t>
      </w:r>
    </w:p>
    <w:p w14:paraId="4A9A425A" w14:textId="77777777" w:rsidR="00BF53CF" w:rsidRDefault="00BF53CF" w:rsidP="00BF53CF">
      <w:pPr>
        <w:pStyle w:val="Tekstpodstawowy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ind w:firstLine="0"/>
        <w:jc w:val="center"/>
        <w:outlineLvl w:val="0"/>
        <w:rPr>
          <w:rFonts w:ascii="Times New Roman" w:hAnsi="Times New Roman"/>
          <w:smallCaps/>
          <w:color w:val="003366"/>
          <w:sz w:val="48"/>
          <w:szCs w:val="48"/>
        </w:rPr>
      </w:pPr>
      <w:r>
        <w:rPr>
          <w:rFonts w:ascii="Times New Roman" w:hAnsi="Times New Roman"/>
          <w:smallCaps/>
          <w:color w:val="003366"/>
          <w:sz w:val="48"/>
          <w:szCs w:val="48"/>
          <w:lang w:val="pl-PL"/>
        </w:rPr>
        <w:t xml:space="preserve">RAPORT: </w:t>
      </w:r>
      <w:r w:rsidR="003D1AA7">
        <w:rPr>
          <w:rFonts w:ascii="Times New Roman" w:hAnsi="Times New Roman"/>
          <w:smallCaps/>
          <w:color w:val="003366"/>
          <w:sz w:val="48"/>
          <w:szCs w:val="48"/>
          <w:lang w:val="pl-PL"/>
        </w:rPr>
        <w:t>Spółdzielczość</w:t>
      </w:r>
    </w:p>
    <w:p w14:paraId="1AF04440" w14:textId="77777777" w:rsidR="00BF53CF" w:rsidRPr="00ED0171" w:rsidRDefault="00BF53CF" w:rsidP="00BF53CF">
      <w:pPr>
        <w:spacing w:after="0" w:line="240" w:lineRule="auto"/>
        <w:jc w:val="both"/>
        <w:rPr>
          <w:b/>
          <w:sz w:val="16"/>
          <w:szCs w:val="16"/>
        </w:rPr>
      </w:pPr>
    </w:p>
    <w:p w14:paraId="0E120BB2" w14:textId="77777777" w:rsidR="00007340" w:rsidRDefault="00007340" w:rsidP="00BF53CF">
      <w:pPr>
        <w:spacing w:after="0" w:line="240" w:lineRule="auto"/>
        <w:jc w:val="both"/>
        <w:rPr>
          <w:b/>
          <w:szCs w:val="28"/>
        </w:rPr>
      </w:pPr>
    </w:p>
    <w:p w14:paraId="06141760" w14:textId="77777777" w:rsidR="00B61D5C" w:rsidRPr="00AF7FAA" w:rsidRDefault="00B61D5C" w:rsidP="00BF53CF">
      <w:pPr>
        <w:spacing w:after="0" w:line="240" w:lineRule="auto"/>
        <w:jc w:val="both"/>
        <w:rPr>
          <w:b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8172"/>
      </w:tblGrid>
      <w:tr w:rsidR="003D1AA7" w:rsidRPr="00F21FC5" w14:paraId="58616B7E" w14:textId="77777777" w:rsidTr="003D1AA7">
        <w:tc>
          <w:tcPr>
            <w:tcW w:w="1008" w:type="dxa"/>
          </w:tcPr>
          <w:p w14:paraId="4BD17506" w14:textId="77777777" w:rsidR="003D1AA7" w:rsidRPr="00F21FC5" w:rsidRDefault="003D1AA7" w:rsidP="002E2745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7A4C4CB" wp14:editId="071E9F6D">
                  <wp:extent cx="514350" cy="790575"/>
                  <wp:effectExtent l="0" t="0" r="0" b="9525"/>
                  <wp:docPr id="1" name="Obraz 1" descr="grodz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rodz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3D833508" w14:textId="77777777" w:rsidR="003D1AA7" w:rsidRPr="00F21FC5" w:rsidRDefault="003D1AA7" w:rsidP="002E2745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caps/>
                <w:sz w:val="16"/>
                <w:szCs w:val="16"/>
              </w:rPr>
              <w:t xml:space="preserve">DR inż. </w:t>
            </w:r>
            <w:r w:rsidRPr="00F21FC5">
              <w:rPr>
                <w:rFonts w:ascii="Bookman Old Style" w:hAnsi="Bookman Old Style"/>
                <w:b/>
                <w:caps/>
                <w:sz w:val="16"/>
                <w:szCs w:val="16"/>
              </w:rPr>
              <w:t>Mieczysław Grodzki</w:t>
            </w:r>
          </w:p>
          <w:p w14:paraId="6D96432E" w14:textId="77777777" w:rsidR="003D1AA7" w:rsidRPr="00F21FC5" w:rsidRDefault="003D1AA7" w:rsidP="002E274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>minister ds. spółdzielczości Gospodarczego Gabinetu Cieni BCC</w:t>
            </w:r>
          </w:p>
          <w:p w14:paraId="389C1C4B" w14:textId="77777777" w:rsidR="003D1AA7" w:rsidRPr="00F21FC5" w:rsidRDefault="003D1AA7" w:rsidP="002E2745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Rzeczoznawca budowlany GINB, rzeczoznawca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majątkowy ds.</w:t>
            </w: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 nieruchomości, lustrator spółdzielczy.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Prezes zarządu</w:t>
            </w: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 Krajowej Rady Spółdzielczej, zastępca przewodniczącego RN Związku Rewizyjnego Banków Spółdzielczych im. Franciszka Stefczyka,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z-ca przewodniczącego</w:t>
            </w: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 Rady Mazowieckiej Okręgowej Izby Inżynierów Budownictwa. Prowadzi własną firmę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 xml:space="preserve"> – </w:t>
            </w: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>Przedsiębiorstwo Budowlane GROMAR. Za swoją działalność został odznaczony Srebrnym i Złotym Krzyżem Zasługi. Przewodniczący Komisji Spółdzielczej BCC.</w:t>
            </w:r>
          </w:p>
          <w:p w14:paraId="57F64854" w14:textId="77777777" w:rsidR="003D1AA7" w:rsidRPr="00F21FC5" w:rsidRDefault="003D1AA7" w:rsidP="002E274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514 090 080 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</w:t>
            </w:r>
            <w:r>
              <w:rPr>
                <w:rFonts w:ascii="Bookman Old Style" w:hAnsi="Bookman Old Style"/>
                <w:b/>
                <w:sz w:val="14"/>
                <w:szCs w:val="14"/>
              </w:rPr>
              <w:t>mieczyslaw.grodzki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>@bcc.org.pl</w:t>
            </w:r>
          </w:p>
          <w:p w14:paraId="1E41AB9D" w14:textId="77777777" w:rsidR="003D1AA7" w:rsidRPr="00F21FC5" w:rsidRDefault="003D1AA7" w:rsidP="002E2745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14:paraId="2C65A93A" w14:textId="3E80E69F" w:rsidR="00501BA5" w:rsidRDefault="00501BA5" w:rsidP="00BF53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21C40EB" w14:textId="77777777" w:rsidR="00007340" w:rsidRDefault="00007340" w:rsidP="00BF53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7A6F1B2" w14:textId="4A9306EA" w:rsidR="004921FA" w:rsidRDefault="004921FA" w:rsidP="00BF53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57D2344" w14:textId="2CBE9C87" w:rsidR="004921FA" w:rsidRDefault="004921FA" w:rsidP="00BF53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46332" w:rsidRPr="000325CF" w14:paraId="10B1CDC2" w14:textId="77777777" w:rsidTr="00855152">
        <w:tc>
          <w:tcPr>
            <w:tcW w:w="9214" w:type="dxa"/>
          </w:tcPr>
          <w:p w14:paraId="3666615C" w14:textId="53578C3F" w:rsidR="00855152" w:rsidRPr="006E74BD" w:rsidRDefault="00A46332" w:rsidP="006E7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REKOMENDACJE </w:t>
            </w:r>
            <w:r w:rsidRPr="00873433">
              <w:rPr>
                <w:b/>
                <w:bCs/>
              </w:rPr>
              <w:t>DLA RZĄDU</w:t>
            </w:r>
          </w:p>
        </w:tc>
      </w:tr>
      <w:tr w:rsidR="00A46332" w:rsidRPr="00A25584" w14:paraId="5F778E54" w14:textId="77777777" w:rsidTr="00855152">
        <w:trPr>
          <w:trHeight w:val="1266"/>
        </w:trPr>
        <w:tc>
          <w:tcPr>
            <w:tcW w:w="9214" w:type="dxa"/>
          </w:tcPr>
          <w:p w14:paraId="102F3BF5" w14:textId="77777777" w:rsidR="00A46332" w:rsidRPr="006E74BD" w:rsidRDefault="00A46332" w:rsidP="00841F3F">
            <w:pPr>
              <w:pStyle w:val="Akapitzlist"/>
              <w:spacing w:after="0" w:line="360" w:lineRule="auto"/>
              <w:ind w:left="7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7F02F" w14:textId="512D1090" w:rsidR="00A46332" w:rsidRPr="006E74BD" w:rsidRDefault="00A46332" w:rsidP="006E74BD">
            <w:pPr>
              <w:pStyle w:val="NormalnyWeb"/>
              <w:numPr>
                <w:ilvl w:val="0"/>
                <w:numId w:val="30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E74BD">
              <w:rPr>
                <w:rFonts w:ascii="Arial" w:hAnsi="Arial" w:cs="Arial"/>
                <w:sz w:val="18"/>
                <w:szCs w:val="18"/>
              </w:rPr>
              <w:t xml:space="preserve">Wprowadzenie kompleksowych 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>rozwiązań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dla rozwoju 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>spółdzielczości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i traktowanie tego sektora na 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>równi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z innymi </w:t>
            </w:r>
            <w:r w:rsidR="0075604C" w:rsidRPr="006E74BD">
              <w:rPr>
                <w:rFonts w:ascii="Arial" w:hAnsi="Arial" w:cs="Arial"/>
                <w:sz w:val="18"/>
                <w:szCs w:val="18"/>
              </w:rPr>
              <w:t>jest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kluczowe dla prawidłowego rozwoju gospodarki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 xml:space="preserve"> wykorzystującej 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funkcje społeczne. Obecny czas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przygotowywania rozwiązań́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 zakresie kolejnej perspektywy finansowej UE,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wdrażania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Polskiego Ładu, a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także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przygotowań</w:t>
            </w:r>
            <w:r w:rsidRPr="006E74BD">
              <w:rPr>
                <w:rFonts w:ascii="Arial" w:hAnsi="Arial" w:cs="Arial"/>
                <w:sz w:val="18"/>
                <w:szCs w:val="18"/>
              </w:rPr>
              <w:t>́ do Krajowego Planu Odbudowy,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 xml:space="preserve"> sprzyja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przyjęci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u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rozwiązań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służących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rozwojowi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spółdzielczości</w:t>
            </w:r>
            <w:r w:rsidRPr="006E74BD">
              <w:rPr>
                <w:rFonts w:ascii="Arial" w:hAnsi="Arial" w:cs="Arial"/>
                <w:sz w:val="18"/>
                <w:szCs w:val="18"/>
              </w:rPr>
              <w:t>. Niestety</w:t>
            </w:r>
            <w:r w:rsidR="008C1B9A">
              <w:rPr>
                <w:rFonts w:ascii="Arial" w:hAnsi="Arial" w:cs="Arial"/>
                <w:sz w:val="18"/>
                <w:szCs w:val="18"/>
              </w:rPr>
              <w:t>,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spółdzielczość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nie jest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uwzględniana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odpowiednio do potrzeb.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Doświadczenia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krajów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o wysokim stopniu rozwoju gospodarczego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wskazują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̨, </w:t>
            </w:r>
            <w:r w:rsidR="00007340">
              <w:rPr>
                <w:rFonts w:ascii="Arial" w:hAnsi="Arial" w:cs="Arial"/>
                <w:sz w:val="18"/>
                <w:szCs w:val="18"/>
              </w:rPr>
              <w:t xml:space="preserve">że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rozwój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spółdzielczości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CB1" w:rsidRPr="006E74BD">
              <w:rPr>
                <w:rFonts w:ascii="Arial" w:hAnsi="Arial" w:cs="Arial"/>
                <w:sz w:val="18"/>
                <w:szCs w:val="18"/>
              </w:rPr>
              <w:t>sprzyja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 xml:space="preserve"> osiągnięciu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pożądanych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efektów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 rozwoju gospodarczym i społecznym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Na całym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świecie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funkcjonuje około 3 mln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 xml:space="preserve">spółdzielni, które są pracodawcami dla 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10%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ogółu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zatrudnionych. </w:t>
            </w:r>
          </w:p>
          <w:p w14:paraId="252E8522" w14:textId="6013C643" w:rsidR="00290C2F" w:rsidRPr="006E74BD" w:rsidRDefault="00A46332" w:rsidP="0037705C">
            <w:pPr>
              <w:pStyle w:val="NormalnyWeb"/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E74BD">
              <w:rPr>
                <w:rFonts w:ascii="Arial" w:hAnsi="Arial" w:cs="Arial"/>
                <w:sz w:val="18"/>
                <w:szCs w:val="18"/>
              </w:rPr>
              <w:t xml:space="preserve">Sytuacja </w:t>
            </w:r>
            <w:r w:rsidR="00B47BB4" w:rsidRPr="006E74BD">
              <w:rPr>
                <w:rFonts w:ascii="Arial" w:hAnsi="Arial" w:cs="Arial"/>
                <w:sz w:val="18"/>
                <w:szCs w:val="18"/>
              </w:rPr>
              <w:t>spółdzielczego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sektora </w:t>
            </w:r>
            <w:r w:rsidR="00007340" w:rsidRPr="006E74BD">
              <w:rPr>
                <w:rFonts w:ascii="Arial" w:hAnsi="Arial" w:cs="Arial"/>
                <w:sz w:val="18"/>
                <w:szCs w:val="18"/>
              </w:rPr>
              <w:t>finansowego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 xml:space="preserve"> jako części sektora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bankowego</w:t>
            </w:r>
            <w:r w:rsidR="008C1B9A">
              <w:rPr>
                <w:rFonts w:ascii="Arial" w:hAnsi="Arial" w:cs="Arial"/>
                <w:sz w:val="18"/>
                <w:szCs w:val="18"/>
              </w:rPr>
              <w:t>,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nie uległa zasadniczej zmianie. </w:t>
            </w:r>
            <w:r w:rsidR="00FB568F" w:rsidRPr="006E74BD">
              <w:rPr>
                <w:rFonts w:ascii="Arial" w:hAnsi="Arial" w:cs="Arial"/>
                <w:sz w:val="18"/>
                <w:szCs w:val="18"/>
              </w:rPr>
              <w:t>W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>ymaga</w:t>
            </w:r>
            <w:r w:rsidR="00FB568F" w:rsidRPr="006E74BD">
              <w:rPr>
                <w:rFonts w:ascii="Arial" w:hAnsi="Arial" w:cs="Arial"/>
                <w:sz w:val="18"/>
                <w:szCs w:val="18"/>
              </w:rPr>
              <w:t xml:space="preserve"> jednak odnotowania 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uchwalona przez Sejm RP ustawa o gwarancjach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kredytów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mieszkaniowych.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Zwrócić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́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należy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uwagę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̨ na ryzyka,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które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ona niesie dla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banków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spółdzielczych.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przeciwieństwie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do podobnych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programów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wsparcia zakłada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 xml:space="preserve"> ona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gwarantowanie do czasu spłaty w pierwszej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kolejności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kwoty kredytu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równej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kwocie gwarancji.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Może to powodować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>́ podniesienie poziomu ryzyka kredytowego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związku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 xml:space="preserve">tym 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banki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spółdzielcze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oczekują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t>̨ na stosowne rekomendacje KNF.</w:t>
            </w:r>
            <w:r w:rsidR="00290C2F" w:rsidRPr="006E74BD">
              <w:rPr>
                <w:rFonts w:ascii="Arial" w:hAnsi="Arial" w:cs="Arial"/>
                <w:sz w:val="18"/>
                <w:szCs w:val="18"/>
              </w:rPr>
              <w:br/>
            </w:r>
          </w:p>
          <w:p w14:paraId="428026E4" w14:textId="334D40B6" w:rsidR="00E5486F" w:rsidRDefault="00290C2F" w:rsidP="0037705C">
            <w:pPr>
              <w:pStyle w:val="NormalnyWeb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4BD">
              <w:rPr>
                <w:rFonts w:ascii="Arial" w:hAnsi="Arial" w:cs="Arial"/>
                <w:sz w:val="18"/>
                <w:szCs w:val="18"/>
              </w:rPr>
              <w:t xml:space="preserve">Ustawa z 20 lipca 2018 roku o przekształceniu prawa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użytkowania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wieczystego w prawo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własności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nieruchomości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miała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być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pierwszym krokiem w kierunku stopniowego wygaszania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użytkowania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wieczystego. Spowodowała ona przekształcenie prawa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użytkowania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wieczystego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gruntów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zabudowanych na cele mieszkaniowe we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własność</w:t>
            </w:r>
            <w:r w:rsidRPr="006E74BD">
              <w:rPr>
                <w:rFonts w:ascii="Arial" w:hAnsi="Arial" w:cs="Arial"/>
                <w:sz w:val="18"/>
                <w:szCs w:val="18"/>
              </w:rPr>
              <w:t>́ z mocy prawa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Poza zakresem swojego oddziaływania pozostawiła ona jednak grunty niezabudowane. Ten stan miał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się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̨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zmienić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przy kolejnej nowelizacji ustawy. Niestety, z przedstawionego projektu wynika, </w:t>
            </w:r>
            <w:proofErr w:type="spellStart"/>
            <w:r w:rsidRPr="006E74BD">
              <w:rPr>
                <w:rFonts w:ascii="Arial" w:hAnsi="Arial" w:cs="Arial"/>
                <w:sz w:val="18"/>
                <w:szCs w:val="18"/>
              </w:rPr>
              <w:t>że</w:t>
            </w:r>
            <w:proofErr w:type="spellEnd"/>
            <w:r w:rsidRPr="006E74BD">
              <w:rPr>
                <w:rFonts w:ascii="Arial" w:hAnsi="Arial" w:cs="Arial"/>
                <w:sz w:val="18"/>
                <w:szCs w:val="18"/>
              </w:rPr>
              <w:t xml:space="preserve"> nowela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będzie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stanowić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tylko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korektę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̨ dotychczasowych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przepisów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. Projekt dopuszcza, by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właściciel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nieruchomości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(Skarb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Państwa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lastRenderedPageBreak/>
              <w:t>Samorząd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mógł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zaproponować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́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cenę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̨ gruntu w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wysokości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nie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niższej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niż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̇ 20-krotność dotychczasowej opłaty rocznej z tytułu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użytkowania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wieczystego i nie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wyższej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niż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̇ rynkowa cena gruntu. Propozycja nie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zbliża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nas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wiec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do zapowiadanego celu likwidacji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użytkowania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wieczystego i jest krokiem wstecz w stosunku do obecnie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obowiązującej</w:t>
            </w:r>
            <w:r w:rsidRPr="006E74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2A0" w:rsidRPr="006E74BD">
              <w:rPr>
                <w:rFonts w:ascii="Arial" w:hAnsi="Arial" w:cs="Arial"/>
                <w:sz w:val="18"/>
                <w:szCs w:val="18"/>
              </w:rPr>
              <w:t>ustawy</w:t>
            </w:r>
            <w:r w:rsidR="006E74B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7292D3" w14:textId="6A70EB5A" w:rsidR="00A46332" w:rsidRPr="00E5486F" w:rsidRDefault="00855152" w:rsidP="00E5486F">
            <w:pPr>
              <w:pStyle w:val="NormalnyWeb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486F">
              <w:rPr>
                <w:rFonts w:ascii="Arial" w:hAnsi="Arial" w:cs="Arial"/>
                <w:sz w:val="18"/>
                <w:szCs w:val="18"/>
              </w:rPr>
              <w:t xml:space="preserve">W zakresie spółdzielczości rolniczej i wiejskiej należałoby zwiększyć 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>w Planie Strategicznym WPR</w:t>
            </w:r>
            <w:r w:rsidRPr="00E5486F">
              <w:rPr>
                <w:rFonts w:ascii="Arial" w:hAnsi="Arial" w:cs="Arial"/>
                <w:sz w:val="18"/>
                <w:szCs w:val="18"/>
              </w:rPr>
              <w:t xml:space="preserve"> (Wspólnej Polityki Rolnej)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na lata 2023-2027 dla Polski wsparci</w:t>
            </w:r>
            <w:r w:rsidRPr="00E5486F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007340" w:rsidRPr="00E5486F">
              <w:rPr>
                <w:rFonts w:ascii="Arial" w:hAnsi="Arial" w:cs="Arial"/>
                <w:sz w:val="18"/>
                <w:szCs w:val="18"/>
              </w:rPr>
              <w:t>dla form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86F">
              <w:rPr>
                <w:rFonts w:ascii="Arial" w:hAnsi="Arial" w:cs="Arial"/>
                <w:sz w:val="18"/>
                <w:szCs w:val="18"/>
              </w:rPr>
              <w:t>wspólnego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działania </w:t>
            </w:r>
            <w:r w:rsidRPr="00E5486F">
              <w:rPr>
                <w:rFonts w:ascii="Arial" w:hAnsi="Arial" w:cs="Arial"/>
                <w:sz w:val="18"/>
                <w:szCs w:val="18"/>
              </w:rPr>
              <w:t>rolników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E5486F">
              <w:rPr>
                <w:rFonts w:ascii="Arial" w:hAnsi="Arial" w:cs="Arial"/>
                <w:sz w:val="18"/>
                <w:szCs w:val="18"/>
              </w:rPr>
              <w:t>mieszkańców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wsi, w </w:t>
            </w:r>
            <w:r w:rsidRPr="00E5486F">
              <w:rPr>
                <w:rFonts w:ascii="Arial" w:hAnsi="Arial" w:cs="Arial"/>
                <w:sz w:val="18"/>
                <w:szCs w:val="18"/>
              </w:rPr>
              <w:t>szczególności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86F">
              <w:rPr>
                <w:rFonts w:ascii="Arial" w:hAnsi="Arial" w:cs="Arial"/>
                <w:sz w:val="18"/>
                <w:szCs w:val="18"/>
              </w:rPr>
              <w:t>spółdzielni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i ich </w:t>
            </w:r>
            <w:r w:rsidRPr="00E5486F">
              <w:rPr>
                <w:rFonts w:ascii="Arial" w:hAnsi="Arial" w:cs="Arial"/>
                <w:sz w:val="18"/>
                <w:szCs w:val="18"/>
              </w:rPr>
              <w:t>związków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– potrzebne jest rozszerzenie zakresu wsparcia </w:t>
            </w:r>
            <w:r w:rsidRPr="00E5486F">
              <w:rPr>
                <w:rFonts w:ascii="Arial" w:hAnsi="Arial" w:cs="Arial"/>
                <w:sz w:val="18"/>
                <w:szCs w:val="18"/>
              </w:rPr>
              <w:t>już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̇ </w:t>
            </w:r>
            <w:r w:rsidRPr="00E5486F">
              <w:rPr>
                <w:rFonts w:ascii="Arial" w:hAnsi="Arial" w:cs="Arial"/>
                <w:sz w:val="18"/>
                <w:szCs w:val="18"/>
              </w:rPr>
              <w:t>działających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i nowotworzonych </w:t>
            </w:r>
            <w:r w:rsidRPr="00E5486F">
              <w:rPr>
                <w:rFonts w:ascii="Arial" w:hAnsi="Arial" w:cs="Arial"/>
                <w:sz w:val="18"/>
                <w:szCs w:val="18"/>
              </w:rPr>
              <w:t>spółdzielni. Kolejnym ważnym postulatem jest w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pisanie do Planu Strategicznego WPR dla Polski wsparcia sektorowego dla uznanych </w:t>
            </w:r>
            <w:r w:rsidRPr="00E5486F">
              <w:rPr>
                <w:rFonts w:ascii="Arial" w:hAnsi="Arial" w:cs="Arial"/>
                <w:sz w:val="18"/>
                <w:szCs w:val="18"/>
              </w:rPr>
              <w:t>O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rganizacji </w:t>
            </w:r>
            <w:r w:rsidRPr="00E5486F">
              <w:rPr>
                <w:rFonts w:ascii="Arial" w:hAnsi="Arial" w:cs="Arial"/>
                <w:sz w:val="18"/>
                <w:szCs w:val="18"/>
              </w:rPr>
              <w:t>Producentów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i ich </w:t>
            </w:r>
            <w:r w:rsidRPr="00E5486F">
              <w:rPr>
                <w:rFonts w:ascii="Arial" w:hAnsi="Arial" w:cs="Arial"/>
                <w:sz w:val="18"/>
                <w:szCs w:val="18"/>
              </w:rPr>
              <w:t>zrzeszeń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́ w kluczowych w naszym kraju sektorach produkcji rolnej i </w:t>
            </w:r>
            <w:r w:rsidR="00007340" w:rsidRPr="00E5486F">
              <w:rPr>
                <w:rFonts w:ascii="Arial" w:hAnsi="Arial" w:cs="Arial"/>
                <w:sz w:val="18"/>
                <w:szCs w:val="18"/>
              </w:rPr>
              <w:t>przetwórstwa oraz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uproszczenie krajowych </w:t>
            </w:r>
            <w:r w:rsidRPr="00E5486F">
              <w:rPr>
                <w:rFonts w:ascii="Arial" w:hAnsi="Arial" w:cs="Arial"/>
                <w:sz w:val="18"/>
                <w:szCs w:val="18"/>
              </w:rPr>
              <w:t>wymogów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uzyskiwania statusu uznanych </w:t>
            </w:r>
            <w:r w:rsidRPr="00E5486F">
              <w:rPr>
                <w:rFonts w:ascii="Arial" w:hAnsi="Arial" w:cs="Arial"/>
                <w:sz w:val="18"/>
                <w:szCs w:val="18"/>
              </w:rPr>
              <w:t xml:space="preserve">Organizacji Producentów 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oraz ich </w:t>
            </w:r>
            <w:r w:rsidRPr="00E5486F">
              <w:rPr>
                <w:rFonts w:ascii="Arial" w:hAnsi="Arial" w:cs="Arial"/>
                <w:sz w:val="18"/>
                <w:szCs w:val="18"/>
              </w:rPr>
              <w:t>zrzeszeń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́ przez </w:t>
            </w:r>
            <w:r w:rsidRPr="00E5486F">
              <w:rPr>
                <w:rFonts w:ascii="Arial" w:hAnsi="Arial" w:cs="Arial"/>
                <w:sz w:val="18"/>
                <w:szCs w:val="18"/>
              </w:rPr>
              <w:t>działające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86F">
              <w:rPr>
                <w:rFonts w:ascii="Arial" w:hAnsi="Arial" w:cs="Arial"/>
                <w:sz w:val="18"/>
                <w:szCs w:val="18"/>
              </w:rPr>
              <w:t>spółdzielnie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rolnicze i </w:t>
            </w:r>
            <w:r w:rsidRPr="00E5486F">
              <w:rPr>
                <w:rFonts w:ascii="Arial" w:hAnsi="Arial" w:cs="Arial"/>
                <w:sz w:val="18"/>
                <w:szCs w:val="18"/>
              </w:rPr>
              <w:t>przetwórcze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 oraz ich </w:t>
            </w:r>
            <w:r w:rsidRPr="00E5486F">
              <w:rPr>
                <w:rFonts w:ascii="Arial" w:hAnsi="Arial" w:cs="Arial"/>
                <w:sz w:val="18"/>
                <w:szCs w:val="18"/>
              </w:rPr>
              <w:t>związki</w:t>
            </w:r>
            <w:r w:rsidR="00290C2F" w:rsidRPr="00E5486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089C1917" w14:textId="77777777" w:rsidR="00A46332" w:rsidRPr="00FE3855" w:rsidRDefault="00A46332" w:rsidP="00A46332">
      <w:pPr>
        <w:spacing w:after="0"/>
        <w:rPr>
          <w:sz w:val="12"/>
          <w:szCs w:val="16"/>
        </w:rPr>
      </w:pPr>
    </w:p>
    <w:p w14:paraId="677B4266" w14:textId="77777777" w:rsidR="00A46332" w:rsidRPr="00FE3855" w:rsidRDefault="00A46332" w:rsidP="00A46332">
      <w:pPr>
        <w:spacing w:after="0"/>
        <w:rPr>
          <w:sz w:val="12"/>
          <w:szCs w:val="16"/>
        </w:rPr>
      </w:pPr>
    </w:p>
    <w:tbl>
      <w:tblPr>
        <w:tblW w:w="9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A46332" w:rsidRPr="00FA53AC" w14:paraId="1FB7C612" w14:textId="77777777" w:rsidTr="00007340">
        <w:tc>
          <w:tcPr>
            <w:tcW w:w="9246" w:type="dxa"/>
          </w:tcPr>
          <w:p w14:paraId="1BBD66CE" w14:textId="77777777" w:rsidR="00855152" w:rsidRDefault="00855152" w:rsidP="006E74BD">
            <w:pPr>
              <w:spacing w:after="0" w:line="312" w:lineRule="auto"/>
              <w:rPr>
                <w:b/>
              </w:rPr>
            </w:pPr>
          </w:p>
          <w:p w14:paraId="7EAF21FC" w14:textId="53E35598" w:rsidR="00855152" w:rsidRPr="00FA53AC" w:rsidRDefault="00A46332" w:rsidP="006E74BD">
            <w:pPr>
              <w:spacing w:after="0" w:line="312" w:lineRule="auto"/>
              <w:jc w:val="center"/>
              <w:rPr>
                <w:b/>
              </w:rPr>
            </w:pPr>
            <w:r w:rsidRPr="00FA53AC">
              <w:rPr>
                <w:b/>
              </w:rPr>
              <w:t xml:space="preserve">PODSUMOWANIE </w:t>
            </w:r>
            <w:r>
              <w:rPr>
                <w:b/>
              </w:rPr>
              <w:t>DOTYCHCZASOWYCH DZIAŁAŃ RZĄDU W OBSZARZE SPÓŁDZIELCZOŚCI</w:t>
            </w:r>
          </w:p>
        </w:tc>
      </w:tr>
      <w:tr w:rsidR="00A46332" w:rsidRPr="008E12F1" w14:paraId="16141BD8" w14:textId="77777777" w:rsidTr="00007340">
        <w:trPr>
          <w:trHeight w:val="53"/>
        </w:trPr>
        <w:tc>
          <w:tcPr>
            <w:tcW w:w="9246" w:type="dxa"/>
          </w:tcPr>
          <w:p w14:paraId="68366E63" w14:textId="77777777" w:rsidR="00A46332" w:rsidRDefault="00A46332" w:rsidP="00841F3F">
            <w:pPr>
              <w:spacing w:after="0"/>
              <w:jc w:val="both"/>
              <w:rPr>
                <w:bCs/>
              </w:rPr>
            </w:pPr>
          </w:p>
          <w:p w14:paraId="0B35C19B" w14:textId="77777777" w:rsidR="00A46332" w:rsidRDefault="00A46332" w:rsidP="00841F3F">
            <w:pPr>
              <w:spacing w:after="0"/>
              <w:jc w:val="both"/>
              <w:rPr>
                <w:b/>
              </w:rPr>
            </w:pPr>
            <w:r w:rsidRPr="00FA53AC">
              <w:rPr>
                <w:b/>
              </w:rPr>
              <w:t>Pozytywy:</w:t>
            </w:r>
          </w:p>
          <w:p w14:paraId="05E012AC" w14:textId="77777777" w:rsidR="00A46332" w:rsidRDefault="00A46332" w:rsidP="00841F3F">
            <w:pPr>
              <w:spacing w:after="0"/>
              <w:jc w:val="both"/>
              <w:rPr>
                <w:b/>
                <w:bCs/>
              </w:rPr>
            </w:pPr>
          </w:p>
          <w:p w14:paraId="1A7AAC75" w14:textId="3CA93207" w:rsidR="00855152" w:rsidRPr="0037705C" w:rsidRDefault="00855152" w:rsidP="0037705C">
            <w:pPr>
              <w:pStyle w:val="NormalnyWeb"/>
              <w:numPr>
                <w:ilvl w:val="0"/>
                <w:numId w:val="38"/>
              </w:num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95CB2">
              <w:rPr>
                <w:rFonts w:ascii="Arial" w:hAnsi="Arial" w:cs="Arial"/>
                <w:sz w:val="18"/>
                <w:szCs w:val="18"/>
              </w:rPr>
              <w:t xml:space="preserve">Pomijając aspekty </w:t>
            </w:r>
            <w:proofErr w:type="spellStart"/>
            <w:r w:rsidRPr="00C95CB2">
              <w:rPr>
                <w:rFonts w:ascii="Arial" w:hAnsi="Arial" w:cs="Arial"/>
                <w:sz w:val="18"/>
                <w:szCs w:val="18"/>
              </w:rPr>
              <w:t>ryzyk</w:t>
            </w:r>
            <w:proofErr w:type="spellEnd"/>
            <w:r w:rsidRPr="00C95CB2">
              <w:rPr>
                <w:rFonts w:ascii="Arial" w:hAnsi="Arial" w:cs="Arial"/>
                <w:sz w:val="18"/>
                <w:szCs w:val="18"/>
              </w:rPr>
              <w:t xml:space="preserve"> sektorowych, odnotować́ należy dalsze ożywienie rynku kredytów mieszkaniowych oraz konsumpcyjnych. </w:t>
            </w:r>
          </w:p>
          <w:p w14:paraId="23ECE1FA" w14:textId="740670B4" w:rsidR="00A46332" w:rsidRPr="0037705C" w:rsidRDefault="00855152" w:rsidP="0037705C">
            <w:pPr>
              <w:pStyle w:val="NormalnyWeb"/>
              <w:numPr>
                <w:ilvl w:val="0"/>
                <w:numId w:val="3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CB2">
              <w:rPr>
                <w:rFonts w:ascii="Arial" w:hAnsi="Arial" w:cs="Arial"/>
                <w:sz w:val="18"/>
                <w:szCs w:val="18"/>
              </w:rPr>
              <w:t xml:space="preserve">Kontynuowany jest proces łączeń́ banków spółdzielczych dla wzmocnienia ich pozycji rynkowej oraz efektywnego wykorzystania </w:t>
            </w:r>
            <w:r w:rsidR="006E74BD" w:rsidRPr="00C95CB2">
              <w:rPr>
                <w:rFonts w:ascii="Arial" w:hAnsi="Arial" w:cs="Arial"/>
                <w:sz w:val="18"/>
                <w:szCs w:val="18"/>
              </w:rPr>
              <w:t>zasobów</w:t>
            </w:r>
            <w:r w:rsidRPr="00C95CB2">
              <w:rPr>
                <w:rFonts w:ascii="Arial" w:hAnsi="Arial" w:cs="Arial"/>
                <w:sz w:val="18"/>
                <w:szCs w:val="18"/>
              </w:rPr>
              <w:t xml:space="preserve"> kapitałowych i ludzkich. </w:t>
            </w:r>
          </w:p>
          <w:p w14:paraId="51A5EEA4" w14:textId="77777777" w:rsidR="00A46332" w:rsidRDefault="00A46332" w:rsidP="00841F3F">
            <w:pPr>
              <w:spacing w:after="0"/>
              <w:jc w:val="both"/>
              <w:rPr>
                <w:b/>
                <w:bCs/>
              </w:rPr>
            </w:pPr>
          </w:p>
          <w:p w14:paraId="65C0E1FE" w14:textId="77777777" w:rsidR="00A46332" w:rsidRDefault="00A46332" w:rsidP="00841F3F">
            <w:pPr>
              <w:spacing w:after="0"/>
              <w:jc w:val="both"/>
              <w:rPr>
                <w:b/>
                <w:bCs/>
              </w:rPr>
            </w:pPr>
            <w:r w:rsidRPr="00FA53AC">
              <w:rPr>
                <w:b/>
                <w:bCs/>
              </w:rPr>
              <w:t>Zagrożenia:</w:t>
            </w:r>
          </w:p>
          <w:p w14:paraId="33AAB400" w14:textId="77777777" w:rsidR="00A46332" w:rsidRPr="00F36E35" w:rsidRDefault="00A46332" w:rsidP="00841F3F">
            <w:pPr>
              <w:pStyle w:val="Akapitzlist"/>
              <w:spacing w:after="0"/>
              <w:contextualSpacing/>
              <w:jc w:val="both"/>
              <w:rPr>
                <w:rFonts w:ascii="Arial" w:hAnsi="Arial" w:cs="Arial"/>
                <w:sz w:val="12"/>
                <w:szCs w:val="18"/>
                <w:lang w:val="pl-PL"/>
              </w:rPr>
            </w:pPr>
          </w:p>
          <w:p w14:paraId="7A88B67D" w14:textId="4DB65433" w:rsidR="006E74BD" w:rsidRPr="0037705C" w:rsidRDefault="006E74BD" w:rsidP="0037705C">
            <w:pPr>
              <w:pStyle w:val="NormalnyWeb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5CB2">
              <w:rPr>
                <w:rFonts w:ascii="Arial" w:hAnsi="Arial" w:cs="Arial"/>
                <w:sz w:val="18"/>
                <w:szCs w:val="18"/>
              </w:rPr>
              <w:t xml:space="preserve">Ograniczenie rozwoju spółdzielczości w Polsce – stojące w sprzeczności z silnie rozwiniętą spółdzielczością̨ w krajach wiodących: USA, Niemcy, Japonia, Francja, Włochy, Wielka Brytania, Kanada, Szwajcaria, itd. </w:t>
            </w:r>
          </w:p>
          <w:p w14:paraId="69CDD14B" w14:textId="715F2F34" w:rsidR="006E74BD" w:rsidRPr="0037705C" w:rsidRDefault="006E74BD" w:rsidP="0037705C">
            <w:pPr>
              <w:pStyle w:val="NormalnyWeb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05C">
              <w:rPr>
                <w:rFonts w:ascii="Arial" w:hAnsi="Arial" w:cs="Arial"/>
                <w:sz w:val="18"/>
                <w:szCs w:val="18"/>
              </w:rPr>
              <w:t xml:space="preserve">Kreowanie rozwiązania ustawowego w zakresie gwarantowanych kredytów mieszkaniowych z pominięciem wszystkich </w:t>
            </w:r>
            <w:proofErr w:type="spellStart"/>
            <w:r w:rsidRPr="0037705C">
              <w:rPr>
                <w:rFonts w:ascii="Arial" w:hAnsi="Arial" w:cs="Arial"/>
                <w:sz w:val="18"/>
                <w:szCs w:val="18"/>
              </w:rPr>
              <w:t>ryzyk</w:t>
            </w:r>
            <w:proofErr w:type="spellEnd"/>
            <w:r w:rsidRPr="0037705C">
              <w:rPr>
                <w:rFonts w:ascii="Arial" w:hAnsi="Arial" w:cs="Arial"/>
                <w:sz w:val="18"/>
                <w:szCs w:val="18"/>
              </w:rPr>
              <w:t xml:space="preserve"> z tym związanych. </w:t>
            </w:r>
          </w:p>
          <w:p w14:paraId="69BBB11B" w14:textId="2306202B" w:rsidR="00007340" w:rsidRPr="0037705C" w:rsidRDefault="006E74BD" w:rsidP="0037705C">
            <w:pPr>
              <w:pStyle w:val="NormalnyWeb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705C">
              <w:rPr>
                <w:rFonts w:ascii="Arial" w:hAnsi="Arial" w:cs="Arial"/>
                <w:sz w:val="18"/>
                <w:szCs w:val="18"/>
              </w:rPr>
              <w:t>Dalsze utrzymywanie przez RPP tzw. stawki referencyjnej na poziomie 0,1 pp. i wspieranie kursem złoty do euro eksportu, bez analizy konsekwencji tego stanu dla importu (w tym zaopatrzeniowego), co jest jednym z czynników wzrostu inflacji.</w:t>
            </w:r>
          </w:p>
          <w:p w14:paraId="3547C359" w14:textId="1D1E0081" w:rsidR="00007340" w:rsidRPr="00007340" w:rsidRDefault="00C95CB2" w:rsidP="00007340">
            <w:pPr>
              <w:pStyle w:val="NormalnyWeb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340">
              <w:rPr>
                <w:rFonts w:ascii="Arial" w:hAnsi="Arial" w:cs="Arial"/>
                <w:sz w:val="18"/>
                <w:szCs w:val="18"/>
              </w:rPr>
              <w:t xml:space="preserve">Brak wprowadzenia kompleksowych rozwiązań dla rozwoju spółdzielczości w Polsce, w szczególności w sektorach gospodarki, w których spółdzielczość jest dobrze rozwinięta w wielu krajach na świecie, będzie negatywnie oddziaływać na rozwój naszego kraju. Ograniczanie rozwoju spółdzielczości w Polsce stoi w sprzeczności z działaniami krajów wysokorozwiniętych, w których różnego typu spółdzielnie, działające i nowopowstające, są popularną formą wspólnie prowadzonych przedsiębiorstw. Szczególnie negatywne skutki widoczne są już w rolnictwie, przetwórstwie rolnym oraz na obszarach wiejskich. </w:t>
            </w:r>
          </w:p>
          <w:p w14:paraId="7B3E0A0A" w14:textId="64C84212" w:rsidR="00A46332" w:rsidRPr="0037705C" w:rsidRDefault="00C95CB2" w:rsidP="00007340">
            <w:pPr>
              <w:pStyle w:val="NormalnyWeb"/>
              <w:numPr>
                <w:ilvl w:val="0"/>
                <w:numId w:val="40"/>
              </w:numPr>
              <w:jc w:val="both"/>
            </w:pPr>
            <w:r w:rsidRPr="00007340">
              <w:rPr>
                <w:rFonts w:ascii="Arial" w:hAnsi="Arial" w:cs="Arial"/>
                <w:sz w:val="18"/>
                <w:szCs w:val="18"/>
              </w:rPr>
              <w:t xml:space="preserve">Bez wdrożenia wsparcia sektorowego dla uznanych organizacji producentów (OP) i ich zrzeszeń w kluczowych dla polskiego rolnictwa i przetwórstwa rolnego sektorach - w ramach Planu Strategicznego WPR dla Polski na nową perspektywę UE 2023-2027, możliwości rozwoju zmniejszą się. Pozycja rynkowa polskich rolników i podmiotów przetwórczych będzie się pogorszać. W wielu sektorach już dziś dochody z produkcji rolnej są bardzo niskie lub występuje ich brak. Bez spółdzielni mających status uznanej OP (preferowane przez KE) - bardzo trudno będzie rolnikom wypełnić tak wysoko postawione wymagania w zakresie dobrostanu, ekologii, ochrony klimatu i środowiska, wynikające z Europejskiego Zielonego Ładu. </w:t>
            </w:r>
          </w:p>
        </w:tc>
      </w:tr>
    </w:tbl>
    <w:p w14:paraId="22864DC8" w14:textId="1562A403" w:rsidR="004921FA" w:rsidRDefault="004921FA" w:rsidP="00BF53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969D725" w14:textId="5C9F963F" w:rsidR="004921FA" w:rsidRPr="006E74BD" w:rsidRDefault="006E74BD" w:rsidP="006E74BD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</w:pPr>
      <w:r w:rsidRPr="00576A1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Opracowanie jest elementem Raportu Gospodarczego Gabinetu Cieni BCC dot. II</w:t>
      </w:r>
      <w:r w:rsidR="008C1B9A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I</w:t>
      </w:r>
      <w:r w:rsidRPr="00576A1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 xml:space="preserve"> kwartału. W najbliższych dniach będziemy prezentować poglądy poszczególnych ministrów związane z obecną sytuacją gospodarczą oraz rekomendacje dla rządu</w:t>
      </w:r>
      <w:r w:rsidRPr="00891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. </w:t>
      </w:r>
    </w:p>
    <w:p w14:paraId="64445EB2" w14:textId="77777777" w:rsidR="006E74BD" w:rsidRDefault="006E74BD" w:rsidP="00BF53C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D5AFC9D" w14:textId="77777777" w:rsidR="004921FA" w:rsidRPr="006E74BD" w:rsidRDefault="004921FA" w:rsidP="004921FA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6"/>
          <w:szCs w:val="16"/>
          <w:lang w:eastAsia="ar-SA"/>
        </w:rPr>
      </w:pPr>
      <w:r w:rsidRPr="006E74BD">
        <w:rPr>
          <w:rFonts w:ascii="Arial" w:eastAsia="Arial Unicode MS" w:hAnsi="Arial" w:cs="Arial"/>
          <w:b/>
          <w:bCs/>
          <w:sz w:val="16"/>
          <w:szCs w:val="16"/>
          <w:lang w:eastAsia="ar-SA"/>
        </w:rPr>
        <w:t>Mirosław Kasprzak</w:t>
      </w:r>
    </w:p>
    <w:p w14:paraId="3699FF75" w14:textId="77777777" w:rsidR="004921FA" w:rsidRPr="006E74BD" w:rsidRDefault="004921FA" w:rsidP="004921FA">
      <w:pPr>
        <w:suppressAutoHyphens/>
        <w:spacing w:after="0" w:line="100" w:lineRule="atLeast"/>
        <w:rPr>
          <w:rFonts w:ascii="Arial" w:eastAsia="Arial Unicode MS" w:hAnsi="Arial" w:cs="Arial"/>
          <w:sz w:val="16"/>
          <w:szCs w:val="16"/>
          <w:lang w:eastAsia="ar-SA"/>
        </w:rPr>
      </w:pPr>
      <w:r w:rsidRPr="006E74BD">
        <w:rPr>
          <w:rFonts w:ascii="Arial" w:eastAsia="Arial Unicode MS" w:hAnsi="Arial" w:cs="Arial"/>
          <w:sz w:val="16"/>
          <w:szCs w:val="16"/>
          <w:lang w:eastAsia="ar-SA"/>
        </w:rPr>
        <w:t>Rzecznik BCC</w:t>
      </w:r>
    </w:p>
    <w:p w14:paraId="4CE9FEF9" w14:textId="77777777" w:rsidR="004921FA" w:rsidRPr="006E74BD" w:rsidRDefault="004921FA" w:rsidP="004921FA">
      <w:pPr>
        <w:suppressAutoHyphens/>
        <w:spacing w:after="0" w:line="100" w:lineRule="atLeast"/>
        <w:rPr>
          <w:rFonts w:ascii="Arial" w:eastAsia="Arial Unicode MS" w:hAnsi="Arial" w:cs="Arial"/>
          <w:sz w:val="16"/>
          <w:szCs w:val="16"/>
          <w:lang w:eastAsia="ar-SA"/>
        </w:rPr>
      </w:pPr>
      <w:r w:rsidRPr="006E74BD">
        <w:rPr>
          <w:rFonts w:ascii="Arial" w:eastAsia="Arial Unicode MS" w:hAnsi="Arial" w:cs="Arial"/>
          <w:sz w:val="16"/>
          <w:szCs w:val="16"/>
          <w:lang w:eastAsia="ar-SA"/>
        </w:rPr>
        <w:t xml:space="preserve">Instytut Interwencji Gospodarczych BCC </w:t>
      </w:r>
    </w:p>
    <w:p w14:paraId="47E77DA2" w14:textId="77777777" w:rsidR="004921FA" w:rsidRPr="006E74BD" w:rsidRDefault="004921FA" w:rsidP="004921FA">
      <w:pPr>
        <w:suppressAutoHyphens/>
        <w:spacing w:after="0" w:line="100" w:lineRule="atLeast"/>
        <w:rPr>
          <w:rFonts w:ascii="Arial" w:eastAsia="Arial Unicode MS" w:hAnsi="Arial" w:cs="Arial"/>
          <w:sz w:val="16"/>
          <w:szCs w:val="16"/>
          <w:lang w:val="en-US" w:eastAsia="ar-SA"/>
        </w:rPr>
      </w:pPr>
      <w:r w:rsidRPr="006E74BD">
        <w:rPr>
          <w:rFonts w:ascii="Arial" w:eastAsia="Arial Unicode MS" w:hAnsi="Arial" w:cs="Arial"/>
          <w:sz w:val="16"/>
          <w:szCs w:val="16"/>
          <w:lang w:val="en-US" w:eastAsia="ar-SA"/>
        </w:rPr>
        <w:t>tel. 608 529 504</w:t>
      </w:r>
    </w:p>
    <w:p w14:paraId="16CB8E44" w14:textId="5FB1058C" w:rsidR="004921FA" w:rsidRPr="0037705C" w:rsidRDefault="004921FA" w:rsidP="004921FA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6"/>
          <w:szCs w:val="16"/>
          <w:lang w:val="en-US" w:eastAsia="ar-SA"/>
        </w:rPr>
      </w:pPr>
      <w:r w:rsidRPr="006E74BD">
        <w:rPr>
          <w:rFonts w:ascii="Arial" w:eastAsia="Arial Unicode MS" w:hAnsi="Arial" w:cs="Arial"/>
          <w:sz w:val="16"/>
          <w:szCs w:val="16"/>
          <w:lang w:val="en-US" w:eastAsia="ar-SA"/>
        </w:rPr>
        <w:t>e-mail: miroslaw.kasprzak@bcc</w:t>
      </w:r>
      <w:r w:rsidR="00007340">
        <w:rPr>
          <w:rFonts w:ascii="Arial" w:eastAsia="Arial Unicode MS" w:hAnsi="Arial" w:cs="Arial"/>
          <w:sz w:val="16"/>
          <w:szCs w:val="16"/>
          <w:lang w:val="en-US" w:eastAsia="ar-SA"/>
        </w:rPr>
        <w:t>.</w:t>
      </w:r>
      <w:r w:rsidRPr="0037705C">
        <w:rPr>
          <w:rFonts w:ascii="Arial" w:eastAsia="Arial Unicode MS" w:hAnsi="Arial" w:cs="Arial"/>
          <w:sz w:val="16"/>
          <w:szCs w:val="16"/>
          <w:lang w:val="en-US" w:eastAsia="ar-SA"/>
        </w:rPr>
        <w:t>pl</w:t>
      </w:r>
    </w:p>
    <w:p w14:paraId="753FBA13" w14:textId="77777777" w:rsidR="00D36D0D" w:rsidRPr="0037705C" w:rsidRDefault="00D36D0D" w:rsidP="00BF53CF">
      <w:pPr>
        <w:spacing w:after="0" w:line="240" w:lineRule="auto"/>
        <w:jc w:val="both"/>
        <w:rPr>
          <w:b/>
          <w:sz w:val="20"/>
          <w:szCs w:val="28"/>
          <w:lang w:val="en-US"/>
        </w:rPr>
      </w:pPr>
    </w:p>
    <w:p w14:paraId="4716A51C" w14:textId="60AC3988" w:rsidR="004921FA" w:rsidRPr="006E74BD" w:rsidRDefault="00BF53CF" w:rsidP="006E74BD">
      <w:pPr>
        <w:pBdr>
          <w:top w:val="single" w:sz="2" w:space="6" w:color="C00000"/>
        </w:pBdr>
        <w:spacing w:after="0" w:line="240" w:lineRule="auto"/>
        <w:jc w:val="both"/>
        <w:rPr>
          <w:rFonts w:cs="Calibri"/>
          <w:i/>
          <w:color w:val="0000FF"/>
          <w:sz w:val="14"/>
          <w:szCs w:val="16"/>
          <w:u w:val="single"/>
        </w:rPr>
      </w:pPr>
      <w:r w:rsidRPr="00303D9E">
        <w:rPr>
          <w:rFonts w:cs="Calibri"/>
          <w:b/>
          <w:i/>
          <w:color w:val="808080"/>
          <w:sz w:val="14"/>
          <w:szCs w:val="16"/>
        </w:rPr>
        <w:t>Gospodarczy Gabinet Cieni Business Centre Club</w:t>
      </w:r>
      <w:r w:rsidRPr="00303D9E">
        <w:rPr>
          <w:rFonts w:cs="Calibri"/>
          <w:i/>
          <w:color w:val="808080"/>
          <w:sz w:val="14"/>
          <w:szCs w:val="16"/>
        </w:rPr>
        <w:t xml:space="preserve"> to </w:t>
      </w:r>
      <w:proofErr w:type="spellStart"/>
      <w:r w:rsidRPr="00303D9E">
        <w:rPr>
          <w:rFonts w:cs="Calibri"/>
          <w:i/>
          <w:color w:val="808080"/>
          <w:sz w:val="14"/>
          <w:szCs w:val="16"/>
        </w:rPr>
        <w:t>think</w:t>
      </w:r>
      <w:proofErr w:type="spellEnd"/>
      <w:r w:rsidRPr="00303D9E">
        <w:rPr>
          <w:rFonts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10" w:history="1">
        <w:r w:rsidRPr="00303D9E">
          <w:rPr>
            <w:rStyle w:val="Hipercze"/>
            <w:rFonts w:cs="Calibri"/>
            <w:i/>
            <w:sz w:val="14"/>
            <w:szCs w:val="16"/>
          </w:rPr>
          <w:t>http://www.bcc.org.pl/Gospodarczy-Gabinet-Cieni.4241.0.html</w:t>
        </w:r>
      </w:hyperlink>
    </w:p>
    <w:p w14:paraId="002CE5CB" w14:textId="55785B29" w:rsidR="004921FA" w:rsidRPr="004921FA" w:rsidRDefault="004921FA" w:rsidP="004921FA">
      <w:pPr>
        <w:tabs>
          <w:tab w:val="left" w:pos="3300"/>
        </w:tabs>
        <w:rPr>
          <w:rFonts w:cs="Calibri"/>
          <w:sz w:val="14"/>
          <w:szCs w:val="16"/>
        </w:rPr>
      </w:pPr>
      <w:r>
        <w:rPr>
          <w:rFonts w:cs="Calibri"/>
          <w:sz w:val="14"/>
          <w:szCs w:val="16"/>
        </w:rPr>
        <w:tab/>
      </w:r>
    </w:p>
    <w:sectPr w:rsidR="004921FA" w:rsidRPr="004921FA" w:rsidSect="00AF251C">
      <w:footerReference w:type="default" r:id="rId11"/>
      <w:pgSz w:w="11906" w:h="16838"/>
      <w:pgMar w:top="1135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CF73" w14:textId="77777777" w:rsidR="009B0517" w:rsidRDefault="009B0517">
      <w:pPr>
        <w:spacing w:after="0" w:line="240" w:lineRule="auto"/>
      </w:pPr>
      <w:r>
        <w:separator/>
      </w:r>
    </w:p>
  </w:endnote>
  <w:endnote w:type="continuationSeparator" w:id="0">
    <w:p w14:paraId="37513A45" w14:textId="77777777" w:rsidR="009B0517" w:rsidRDefault="009B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1F00" w14:textId="0D9CECA0" w:rsidR="00B453A4" w:rsidRPr="0056679C" w:rsidRDefault="00CF3FD2" w:rsidP="0079671E">
    <w:pPr>
      <w:pStyle w:val="Stopka"/>
      <w:rPr>
        <w:sz w:val="16"/>
        <w:szCs w:val="18"/>
        <w:lang w:val="pl-PL"/>
      </w:rPr>
    </w:pPr>
    <w:r>
      <w:rPr>
        <w:sz w:val="16"/>
        <w:szCs w:val="18"/>
      </w:rPr>
      <w:t>Gospodarczy Gabinet Cieni BCC</w:t>
    </w:r>
    <w:r>
      <w:rPr>
        <w:sz w:val="16"/>
        <w:szCs w:val="18"/>
        <w:lang w:val="pl-PL"/>
      </w:rPr>
      <w:t xml:space="preserve"> – </w:t>
    </w:r>
    <w:r>
      <w:rPr>
        <w:sz w:val="16"/>
        <w:szCs w:val="18"/>
      </w:rPr>
      <w:t>X</w:t>
    </w:r>
    <w:r w:rsidR="0056679C">
      <w:rPr>
        <w:sz w:val="16"/>
        <w:szCs w:val="18"/>
        <w:lang w:val="pl-PL"/>
      </w:rPr>
      <w:t>XXV</w:t>
    </w:r>
    <w:r w:rsidR="001F2AB5">
      <w:rPr>
        <w:sz w:val="16"/>
        <w:szCs w:val="18"/>
        <w:lang w:val="pl-PL"/>
      </w:rPr>
      <w:t>I</w:t>
    </w:r>
    <w:r w:rsidR="00501BA5">
      <w:rPr>
        <w:sz w:val="16"/>
        <w:szCs w:val="18"/>
        <w:lang w:val="pl-PL"/>
      </w:rPr>
      <w:t>I</w:t>
    </w:r>
    <w:r w:rsidR="004921FA">
      <w:rPr>
        <w:sz w:val="16"/>
        <w:szCs w:val="18"/>
        <w:lang w:val="pl-PL"/>
      </w:rPr>
      <w:t>I</w:t>
    </w:r>
    <w:r w:rsidR="00AB251D">
      <w:rPr>
        <w:sz w:val="16"/>
        <w:szCs w:val="18"/>
      </w:rPr>
      <w:t xml:space="preserve"> </w:t>
    </w:r>
    <w:r w:rsidR="00AB251D">
      <w:rPr>
        <w:sz w:val="16"/>
        <w:szCs w:val="18"/>
        <w:lang w:val="pl-PL"/>
      </w:rPr>
      <w:t xml:space="preserve">Raport kwartalny – </w:t>
    </w:r>
    <w:r w:rsidR="004921FA">
      <w:rPr>
        <w:sz w:val="16"/>
        <w:szCs w:val="18"/>
        <w:lang w:val="pl-PL"/>
      </w:rPr>
      <w:t>14</w:t>
    </w:r>
    <w:r w:rsidRPr="009B7B9C">
      <w:rPr>
        <w:sz w:val="16"/>
        <w:szCs w:val="18"/>
      </w:rPr>
      <w:t>.</w:t>
    </w:r>
    <w:r w:rsidR="004921FA">
      <w:rPr>
        <w:sz w:val="16"/>
        <w:szCs w:val="18"/>
        <w:lang w:val="pl-PL"/>
      </w:rPr>
      <w:t>10</w:t>
    </w:r>
    <w:r w:rsidRPr="009B7B9C">
      <w:rPr>
        <w:sz w:val="16"/>
        <w:szCs w:val="18"/>
      </w:rPr>
      <w:t>.20</w:t>
    </w:r>
    <w:r>
      <w:rPr>
        <w:sz w:val="16"/>
        <w:szCs w:val="18"/>
        <w:lang w:val="pl-PL"/>
      </w:rPr>
      <w:t>2</w:t>
    </w:r>
    <w:r w:rsidR="00501BA5">
      <w:rPr>
        <w:sz w:val="16"/>
        <w:szCs w:val="18"/>
        <w:lang w:val="pl-PL"/>
      </w:rPr>
      <w:t>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C95CB2">
      <w:rPr>
        <w:noProof/>
        <w:sz w:val="18"/>
      </w:rPr>
      <w:t>1</w:t>
    </w:r>
    <w:r w:rsidRPr="009B7B9C">
      <w:rPr>
        <w:sz w:val="18"/>
      </w:rPr>
      <w:fldChar w:fldCharType="end"/>
    </w:r>
  </w:p>
  <w:p w14:paraId="74E71F75" w14:textId="77777777" w:rsidR="00B453A4" w:rsidRDefault="009B05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3BC8" w14:textId="77777777" w:rsidR="009B0517" w:rsidRDefault="009B0517">
      <w:pPr>
        <w:spacing w:after="0" w:line="240" w:lineRule="auto"/>
      </w:pPr>
      <w:r>
        <w:separator/>
      </w:r>
    </w:p>
  </w:footnote>
  <w:footnote w:type="continuationSeparator" w:id="0">
    <w:p w14:paraId="605E56CA" w14:textId="77777777" w:rsidR="009B0517" w:rsidRDefault="009B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915"/>
    <w:multiLevelType w:val="hybridMultilevel"/>
    <w:tmpl w:val="DABCE3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C1C"/>
    <w:multiLevelType w:val="hybridMultilevel"/>
    <w:tmpl w:val="70C82732"/>
    <w:lvl w:ilvl="0" w:tplc="1A2C6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094E"/>
    <w:multiLevelType w:val="hybridMultilevel"/>
    <w:tmpl w:val="238284AE"/>
    <w:lvl w:ilvl="0" w:tplc="6E9A6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99D"/>
    <w:multiLevelType w:val="hybridMultilevel"/>
    <w:tmpl w:val="55144D5E"/>
    <w:lvl w:ilvl="0" w:tplc="62BA1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A80"/>
    <w:multiLevelType w:val="multilevel"/>
    <w:tmpl w:val="A478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1B89"/>
    <w:multiLevelType w:val="multilevel"/>
    <w:tmpl w:val="3D86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8788F"/>
    <w:multiLevelType w:val="multilevel"/>
    <w:tmpl w:val="93604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F88"/>
    <w:multiLevelType w:val="hybridMultilevel"/>
    <w:tmpl w:val="84924212"/>
    <w:lvl w:ilvl="0" w:tplc="CF3A7A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0BB0"/>
    <w:multiLevelType w:val="hybridMultilevel"/>
    <w:tmpl w:val="32F2E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53EC4"/>
    <w:multiLevelType w:val="hybridMultilevel"/>
    <w:tmpl w:val="53D8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7516"/>
    <w:multiLevelType w:val="hybridMultilevel"/>
    <w:tmpl w:val="4D8C4666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27D9B"/>
    <w:multiLevelType w:val="hybridMultilevel"/>
    <w:tmpl w:val="FEF482FE"/>
    <w:lvl w:ilvl="0" w:tplc="5B763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5696"/>
    <w:multiLevelType w:val="hybridMultilevel"/>
    <w:tmpl w:val="01A2F8F8"/>
    <w:lvl w:ilvl="0" w:tplc="CF3A7A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423"/>
    <w:multiLevelType w:val="hybridMultilevel"/>
    <w:tmpl w:val="C2666688"/>
    <w:lvl w:ilvl="0" w:tplc="F18E7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25AAA"/>
    <w:multiLevelType w:val="hybridMultilevel"/>
    <w:tmpl w:val="3DBA5C24"/>
    <w:lvl w:ilvl="0" w:tplc="B5F4F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A246F"/>
    <w:multiLevelType w:val="hybridMultilevel"/>
    <w:tmpl w:val="F65E1ACE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903EF"/>
    <w:multiLevelType w:val="hybridMultilevel"/>
    <w:tmpl w:val="1FF6954E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C48F8"/>
    <w:multiLevelType w:val="hybridMultilevel"/>
    <w:tmpl w:val="B252867C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C2BED"/>
    <w:multiLevelType w:val="hybridMultilevel"/>
    <w:tmpl w:val="CD30593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C3714"/>
    <w:multiLevelType w:val="hybridMultilevel"/>
    <w:tmpl w:val="2CDAF9CA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7A0B"/>
    <w:multiLevelType w:val="hybridMultilevel"/>
    <w:tmpl w:val="940C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F0DFA"/>
    <w:multiLevelType w:val="hybridMultilevel"/>
    <w:tmpl w:val="59101A2E"/>
    <w:lvl w:ilvl="0" w:tplc="D05E3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948DD"/>
    <w:multiLevelType w:val="multilevel"/>
    <w:tmpl w:val="FC46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E49D2"/>
    <w:multiLevelType w:val="hybridMultilevel"/>
    <w:tmpl w:val="84846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4B57"/>
    <w:multiLevelType w:val="hybridMultilevel"/>
    <w:tmpl w:val="EC3C3AAE"/>
    <w:lvl w:ilvl="0" w:tplc="8B524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E6571"/>
    <w:multiLevelType w:val="hybridMultilevel"/>
    <w:tmpl w:val="63F2C2A8"/>
    <w:lvl w:ilvl="0" w:tplc="D78A6A52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636869D1"/>
    <w:multiLevelType w:val="hybridMultilevel"/>
    <w:tmpl w:val="93908EAA"/>
    <w:lvl w:ilvl="0" w:tplc="936AE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42EC"/>
    <w:multiLevelType w:val="hybridMultilevel"/>
    <w:tmpl w:val="1484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1CCB"/>
    <w:multiLevelType w:val="multilevel"/>
    <w:tmpl w:val="B024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91A00"/>
    <w:multiLevelType w:val="hybridMultilevel"/>
    <w:tmpl w:val="1764D90C"/>
    <w:lvl w:ilvl="0" w:tplc="46E8A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A7F21"/>
    <w:multiLevelType w:val="hybridMultilevel"/>
    <w:tmpl w:val="C5A87774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42E62"/>
    <w:multiLevelType w:val="hybridMultilevel"/>
    <w:tmpl w:val="214CEC3E"/>
    <w:lvl w:ilvl="0" w:tplc="CF3A7A7C">
      <w:start w:val="1"/>
      <w:numFmt w:val="decimal"/>
      <w:lvlText w:val="%1."/>
      <w:lvlJc w:val="left"/>
      <w:pPr>
        <w:ind w:left="1428" w:hanging="360"/>
      </w:pPr>
      <w:rPr>
        <w:rFonts w:ascii="Arial" w:eastAsia="Calibri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A01066F"/>
    <w:multiLevelType w:val="hybridMultilevel"/>
    <w:tmpl w:val="0F0E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03DF4"/>
    <w:multiLevelType w:val="multilevel"/>
    <w:tmpl w:val="07E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9C052E"/>
    <w:multiLevelType w:val="multilevel"/>
    <w:tmpl w:val="ECC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204460"/>
    <w:multiLevelType w:val="hybridMultilevel"/>
    <w:tmpl w:val="CCAEB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BD4EB5"/>
    <w:multiLevelType w:val="hybridMultilevel"/>
    <w:tmpl w:val="48426128"/>
    <w:lvl w:ilvl="0" w:tplc="CFE89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214FC"/>
    <w:multiLevelType w:val="hybridMultilevel"/>
    <w:tmpl w:val="7480F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0087"/>
    <w:multiLevelType w:val="multilevel"/>
    <w:tmpl w:val="CA02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D25DD5"/>
    <w:multiLevelType w:val="hybridMultilevel"/>
    <w:tmpl w:val="3C34E9E4"/>
    <w:lvl w:ilvl="0" w:tplc="5B7635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6"/>
  </w:num>
  <w:num w:numId="4">
    <w:abstractNumId w:val="19"/>
  </w:num>
  <w:num w:numId="5">
    <w:abstractNumId w:val="30"/>
  </w:num>
  <w:num w:numId="6">
    <w:abstractNumId w:val="16"/>
  </w:num>
  <w:num w:numId="7">
    <w:abstractNumId w:val="17"/>
  </w:num>
  <w:num w:numId="8">
    <w:abstractNumId w:val="10"/>
  </w:num>
  <w:num w:numId="9">
    <w:abstractNumId w:val="15"/>
  </w:num>
  <w:num w:numId="10">
    <w:abstractNumId w:val="32"/>
  </w:num>
  <w:num w:numId="11">
    <w:abstractNumId w:val="25"/>
  </w:num>
  <w:num w:numId="12">
    <w:abstractNumId w:val="1"/>
  </w:num>
  <w:num w:numId="13">
    <w:abstractNumId w:val="37"/>
  </w:num>
  <w:num w:numId="14">
    <w:abstractNumId w:val="29"/>
  </w:num>
  <w:num w:numId="15">
    <w:abstractNumId w:val="9"/>
  </w:num>
  <w:num w:numId="16">
    <w:abstractNumId w:val="8"/>
  </w:num>
  <w:num w:numId="17">
    <w:abstractNumId w:val="39"/>
  </w:num>
  <w:num w:numId="18">
    <w:abstractNumId w:val="11"/>
  </w:num>
  <w:num w:numId="19">
    <w:abstractNumId w:val="23"/>
  </w:num>
  <w:num w:numId="20">
    <w:abstractNumId w:val="0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36"/>
  </w:num>
  <w:num w:numId="26">
    <w:abstractNumId w:val="27"/>
  </w:num>
  <w:num w:numId="27">
    <w:abstractNumId w:val="2"/>
  </w:num>
  <w:num w:numId="28">
    <w:abstractNumId w:val="24"/>
  </w:num>
  <w:num w:numId="29">
    <w:abstractNumId w:val="20"/>
  </w:num>
  <w:num w:numId="30">
    <w:abstractNumId w:val="7"/>
  </w:num>
  <w:num w:numId="31">
    <w:abstractNumId w:val="28"/>
  </w:num>
  <w:num w:numId="32">
    <w:abstractNumId w:val="38"/>
  </w:num>
  <w:num w:numId="33">
    <w:abstractNumId w:val="6"/>
  </w:num>
  <w:num w:numId="34">
    <w:abstractNumId w:val="22"/>
  </w:num>
  <w:num w:numId="35">
    <w:abstractNumId w:val="33"/>
  </w:num>
  <w:num w:numId="36">
    <w:abstractNumId w:val="34"/>
  </w:num>
  <w:num w:numId="37">
    <w:abstractNumId w:val="31"/>
  </w:num>
  <w:num w:numId="38">
    <w:abstractNumId w:val="12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CF"/>
    <w:rsid w:val="00007340"/>
    <w:rsid w:val="000A5270"/>
    <w:rsid w:val="000C2E4F"/>
    <w:rsid w:val="000E66B2"/>
    <w:rsid w:val="001F2AB5"/>
    <w:rsid w:val="001F4A46"/>
    <w:rsid w:val="0022045C"/>
    <w:rsid w:val="0022471A"/>
    <w:rsid w:val="00290C2F"/>
    <w:rsid w:val="002937B4"/>
    <w:rsid w:val="00296423"/>
    <w:rsid w:val="002A4D0C"/>
    <w:rsid w:val="00304F43"/>
    <w:rsid w:val="00310EA0"/>
    <w:rsid w:val="003272BB"/>
    <w:rsid w:val="00343322"/>
    <w:rsid w:val="0037705C"/>
    <w:rsid w:val="003A1C95"/>
    <w:rsid w:val="003B1711"/>
    <w:rsid w:val="003D1AA7"/>
    <w:rsid w:val="00416AEA"/>
    <w:rsid w:val="00434656"/>
    <w:rsid w:val="0044392F"/>
    <w:rsid w:val="00465B1E"/>
    <w:rsid w:val="004921FA"/>
    <w:rsid w:val="00501BA5"/>
    <w:rsid w:val="0056679C"/>
    <w:rsid w:val="00595B91"/>
    <w:rsid w:val="005E2DDF"/>
    <w:rsid w:val="005F2CE8"/>
    <w:rsid w:val="006B607D"/>
    <w:rsid w:val="006E2CB1"/>
    <w:rsid w:val="006E74BD"/>
    <w:rsid w:val="0075604C"/>
    <w:rsid w:val="00763C86"/>
    <w:rsid w:val="00780F0C"/>
    <w:rsid w:val="007C0345"/>
    <w:rsid w:val="007E7CF4"/>
    <w:rsid w:val="00855152"/>
    <w:rsid w:val="00892AC6"/>
    <w:rsid w:val="008C1B9A"/>
    <w:rsid w:val="008D58A3"/>
    <w:rsid w:val="008E4B9F"/>
    <w:rsid w:val="008E633C"/>
    <w:rsid w:val="008F5107"/>
    <w:rsid w:val="00907462"/>
    <w:rsid w:val="00933743"/>
    <w:rsid w:val="009403C7"/>
    <w:rsid w:val="009B0517"/>
    <w:rsid w:val="00A02099"/>
    <w:rsid w:val="00A46332"/>
    <w:rsid w:val="00AB02C6"/>
    <w:rsid w:val="00AB251D"/>
    <w:rsid w:val="00AF7FAA"/>
    <w:rsid w:val="00B1258F"/>
    <w:rsid w:val="00B47BB4"/>
    <w:rsid w:val="00B61D5C"/>
    <w:rsid w:val="00B7074C"/>
    <w:rsid w:val="00B86E96"/>
    <w:rsid w:val="00B954C8"/>
    <w:rsid w:val="00BE1149"/>
    <w:rsid w:val="00BF53CF"/>
    <w:rsid w:val="00BF56AE"/>
    <w:rsid w:val="00C31928"/>
    <w:rsid w:val="00C362A0"/>
    <w:rsid w:val="00C74E07"/>
    <w:rsid w:val="00C95CB2"/>
    <w:rsid w:val="00C963FD"/>
    <w:rsid w:val="00CE408F"/>
    <w:rsid w:val="00CF3FD2"/>
    <w:rsid w:val="00D35E00"/>
    <w:rsid w:val="00D36D0D"/>
    <w:rsid w:val="00D6247E"/>
    <w:rsid w:val="00E5486F"/>
    <w:rsid w:val="00E7101F"/>
    <w:rsid w:val="00E8302F"/>
    <w:rsid w:val="00E967BE"/>
    <w:rsid w:val="00F02982"/>
    <w:rsid w:val="00F121A6"/>
    <w:rsid w:val="00F24F8E"/>
    <w:rsid w:val="00F814E1"/>
    <w:rsid w:val="00F8288C"/>
    <w:rsid w:val="00F95371"/>
    <w:rsid w:val="00F9707A"/>
    <w:rsid w:val="00FB568F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3709"/>
  <w15:docId w15:val="{6360261D-53C2-114B-BEFA-AD88B4E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F53C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53C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53C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F53CF"/>
    <w:pPr>
      <w:ind w:left="708"/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rsid w:val="00BF53CF"/>
    <w:pPr>
      <w:spacing w:after="0" w:line="240" w:lineRule="auto"/>
      <w:ind w:firstLine="708"/>
      <w:jc w:val="both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3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BF53C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D"/>
    <w:rPr>
      <w:rFonts w:ascii="Calibri" w:eastAsia="Calibri" w:hAnsi="Calibri" w:cs="Times New Roman"/>
    </w:rPr>
  </w:style>
  <w:style w:type="character" w:styleId="Wyrnienieintensywne">
    <w:name w:val="Intense Emphasis"/>
    <w:basedOn w:val="Domylnaczcionkaakapitu"/>
    <w:uiPriority w:val="21"/>
    <w:qFormat/>
    <w:rsid w:val="00B61D5C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A46332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95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073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6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7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7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cc.org.pl/Gospodarczy-Gabinet-Cieni.4241.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ACD8-DE2B-47B3-8428-1820F245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Mirosław Kasprzak</cp:lastModifiedBy>
  <cp:revision>4</cp:revision>
  <cp:lastPrinted>2021-07-08T07:56:00Z</cp:lastPrinted>
  <dcterms:created xsi:type="dcterms:W3CDTF">2021-10-15T07:26:00Z</dcterms:created>
  <dcterms:modified xsi:type="dcterms:W3CDTF">2021-10-15T10:14:00Z</dcterms:modified>
</cp:coreProperties>
</file>