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66A37" w14:textId="77777777" w:rsidR="00342A87" w:rsidRPr="00342A87" w:rsidRDefault="00342A87" w:rsidP="00342A87">
      <w:pPr>
        <w:spacing w:after="0" w:line="240" w:lineRule="auto"/>
        <w:jc w:val="center"/>
        <w:rPr>
          <w:rFonts w:ascii="Calibri" w:eastAsia="Calibri" w:hAnsi="Calibri" w:cs="Times New Roman"/>
          <w:sz w:val="2"/>
          <w:szCs w:val="2"/>
        </w:rPr>
      </w:pPr>
      <w:r w:rsidRPr="00342A87">
        <w:rPr>
          <w:rFonts w:ascii="Calibri" w:eastAsia="Calibri" w:hAnsi="Calibri" w:cs="Times New Roman"/>
          <w:noProof/>
          <w:sz w:val="2"/>
          <w:szCs w:val="2"/>
          <w:lang w:eastAsia="pl-PL"/>
        </w:rPr>
        <w:drawing>
          <wp:inline distT="0" distB="0" distL="0" distR="0" wp14:anchorId="4EE2CC6A" wp14:editId="6DC8DB57">
            <wp:extent cx="2238375" cy="1857375"/>
            <wp:effectExtent l="0" t="0" r="9525" b="0"/>
            <wp:docPr id="1" name="Obraz 1" descr="0c428292-28c0-4f74-b347-08cf9b51f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c428292-28c0-4f74-b347-08cf9b51f9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1857375"/>
                    </a:xfrm>
                    <a:prstGeom prst="rect">
                      <a:avLst/>
                    </a:prstGeom>
                    <a:noFill/>
                    <a:ln>
                      <a:noFill/>
                    </a:ln>
                  </pic:spPr>
                </pic:pic>
              </a:graphicData>
            </a:graphic>
          </wp:inline>
        </w:drawing>
      </w:r>
    </w:p>
    <w:p w14:paraId="02559F85" w14:textId="77777777" w:rsidR="00342A87" w:rsidRPr="00342A87" w:rsidRDefault="00342A87" w:rsidP="00342A87">
      <w:pPr>
        <w:spacing w:after="0" w:line="240" w:lineRule="auto"/>
        <w:jc w:val="center"/>
        <w:rPr>
          <w:rFonts w:ascii="Calibri" w:eastAsia="Calibri" w:hAnsi="Calibri" w:cs="Times New Roman"/>
          <w:b/>
          <w:bCs/>
          <w:sz w:val="10"/>
        </w:rPr>
      </w:pPr>
    </w:p>
    <w:p w14:paraId="29D55522" w14:textId="0C591948" w:rsidR="00342A87" w:rsidRPr="00342A87" w:rsidRDefault="00342A87" w:rsidP="00342A87">
      <w:pPr>
        <w:tabs>
          <w:tab w:val="left" w:pos="0"/>
          <w:tab w:val="left" w:pos="8647"/>
          <w:tab w:val="left" w:pos="9072"/>
        </w:tabs>
        <w:spacing w:after="120" w:line="360" w:lineRule="auto"/>
        <w:jc w:val="right"/>
        <w:rPr>
          <w:rFonts w:ascii="Arial" w:eastAsia="Times New Roman" w:hAnsi="Arial" w:cs="Times New Roman"/>
          <w:sz w:val="18"/>
          <w:szCs w:val="20"/>
          <w:lang w:val="x-none" w:eastAsia="x-none"/>
        </w:rPr>
      </w:pPr>
      <w:r w:rsidRPr="00342A87">
        <w:rPr>
          <w:rFonts w:ascii="Arial" w:eastAsia="Times New Roman" w:hAnsi="Arial" w:cs="Times New Roman"/>
          <w:sz w:val="18"/>
          <w:szCs w:val="20"/>
          <w:lang w:val="x-none" w:eastAsia="x-none"/>
        </w:rPr>
        <w:t xml:space="preserve">Warszawa, </w:t>
      </w:r>
      <w:r w:rsidR="00CB209D">
        <w:rPr>
          <w:rFonts w:ascii="Arial" w:eastAsia="Times New Roman" w:hAnsi="Arial" w:cs="Times New Roman"/>
          <w:sz w:val="18"/>
          <w:szCs w:val="20"/>
          <w:lang w:eastAsia="x-none"/>
        </w:rPr>
        <w:t>20</w:t>
      </w:r>
      <w:r w:rsidR="009B4DC6">
        <w:rPr>
          <w:rFonts w:ascii="Arial" w:eastAsia="Times New Roman" w:hAnsi="Arial" w:cs="Times New Roman"/>
          <w:sz w:val="18"/>
          <w:szCs w:val="20"/>
          <w:lang w:eastAsia="x-none"/>
        </w:rPr>
        <w:t xml:space="preserve"> </w:t>
      </w:r>
      <w:r w:rsidR="00CB209D">
        <w:rPr>
          <w:rFonts w:ascii="Arial" w:eastAsia="Times New Roman" w:hAnsi="Arial" w:cs="Times New Roman"/>
          <w:sz w:val="18"/>
          <w:szCs w:val="20"/>
          <w:lang w:eastAsia="x-none"/>
        </w:rPr>
        <w:t>października</w:t>
      </w:r>
      <w:r w:rsidRPr="00342A87">
        <w:rPr>
          <w:rFonts w:ascii="Arial" w:eastAsia="Times New Roman" w:hAnsi="Arial" w:cs="Times New Roman"/>
          <w:sz w:val="18"/>
          <w:szCs w:val="20"/>
          <w:lang w:eastAsia="x-none"/>
        </w:rPr>
        <w:t xml:space="preserve"> 2</w:t>
      </w:r>
      <w:r w:rsidRPr="00342A87">
        <w:rPr>
          <w:rFonts w:ascii="Arial" w:eastAsia="Times New Roman" w:hAnsi="Arial" w:cs="Times New Roman"/>
          <w:sz w:val="18"/>
          <w:szCs w:val="20"/>
          <w:lang w:val="x-none" w:eastAsia="x-none"/>
        </w:rPr>
        <w:t>0</w:t>
      </w:r>
      <w:r w:rsidR="009B4DC6">
        <w:rPr>
          <w:rFonts w:ascii="Arial" w:eastAsia="Times New Roman" w:hAnsi="Arial" w:cs="Times New Roman"/>
          <w:sz w:val="18"/>
          <w:szCs w:val="20"/>
          <w:lang w:eastAsia="x-none"/>
        </w:rPr>
        <w:t>21</w:t>
      </w:r>
      <w:r w:rsidRPr="00342A87">
        <w:rPr>
          <w:rFonts w:ascii="Arial" w:eastAsia="Times New Roman" w:hAnsi="Arial" w:cs="Times New Roman"/>
          <w:sz w:val="18"/>
          <w:szCs w:val="20"/>
          <w:lang w:val="x-none" w:eastAsia="x-none"/>
        </w:rPr>
        <w:t xml:space="preserve"> r.</w:t>
      </w:r>
    </w:p>
    <w:p w14:paraId="782FCC72" w14:textId="77777777" w:rsidR="00342A87" w:rsidRPr="008670C0" w:rsidRDefault="00342A87" w:rsidP="00342A87">
      <w:pPr>
        <w:pBdr>
          <w:top w:val="single" w:sz="4" w:space="1" w:color="auto"/>
          <w:left w:val="single" w:sz="4" w:space="4" w:color="auto"/>
          <w:bottom w:val="single" w:sz="4" w:space="5" w:color="auto"/>
          <w:right w:val="single" w:sz="4" w:space="4" w:color="auto"/>
        </w:pBdr>
        <w:tabs>
          <w:tab w:val="left" w:pos="0"/>
          <w:tab w:val="left" w:pos="8647"/>
          <w:tab w:val="left" w:pos="9072"/>
        </w:tabs>
        <w:spacing w:after="0" w:line="240" w:lineRule="auto"/>
        <w:jc w:val="center"/>
        <w:outlineLvl w:val="0"/>
        <w:rPr>
          <w:rFonts w:ascii="Times New Roman" w:eastAsia="Times New Roman" w:hAnsi="Times New Roman" w:cs="Times New Roman"/>
          <w:b/>
          <w:bCs/>
          <w:smallCaps/>
          <w:color w:val="003366"/>
          <w:sz w:val="44"/>
          <w:szCs w:val="48"/>
          <w:lang w:val="x-none" w:eastAsia="x-none"/>
        </w:rPr>
      </w:pPr>
      <w:r w:rsidRPr="008670C0">
        <w:rPr>
          <w:rFonts w:ascii="Times New Roman" w:eastAsia="Times New Roman" w:hAnsi="Times New Roman" w:cs="Times New Roman"/>
          <w:b/>
          <w:bCs/>
          <w:smallCaps/>
          <w:color w:val="003366"/>
          <w:sz w:val="44"/>
          <w:szCs w:val="48"/>
          <w:lang w:eastAsia="x-none"/>
        </w:rPr>
        <w:t xml:space="preserve">RAPORT: </w:t>
      </w:r>
      <w:r w:rsidR="008670C0" w:rsidRPr="008670C0">
        <w:rPr>
          <w:rFonts w:ascii="Times New Roman" w:eastAsia="Times New Roman" w:hAnsi="Times New Roman" w:cs="Times New Roman"/>
          <w:b/>
          <w:bCs/>
          <w:smallCaps/>
          <w:color w:val="003366"/>
          <w:sz w:val="44"/>
          <w:szCs w:val="48"/>
          <w:lang w:eastAsia="x-none"/>
        </w:rPr>
        <w:t>Infrastruktura i Budownictwo</w:t>
      </w:r>
    </w:p>
    <w:p w14:paraId="5CC3331D" w14:textId="77777777" w:rsidR="00342A87" w:rsidRPr="00342A87" w:rsidRDefault="00342A87" w:rsidP="00342A87">
      <w:pPr>
        <w:spacing w:after="0" w:line="240" w:lineRule="auto"/>
        <w:jc w:val="both"/>
        <w:rPr>
          <w:rFonts w:ascii="Calibri" w:eastAsia="Calibri" w:hAnsi="Calibri" w:cs="Times New Roman"/>
          <w:b/>
          <w:sz w:val="16"/>
          <w:szCs w:val="16"/>
        </w:rPr>
      </w:pPr>
    </w:p>
    <w:p w14:paraId="478CC98F" w14:textId="77777777" w:rsidR="008670C0" w:rsidRDefault="008670C0" w:rsidP="008670C0">
      <w:pPr>
        <w:spacing w:after="0" w:line="240" w:lineRule="auto"/>
        <w:jc w:val="both"/>
        <w:rPr>
          <w:b/>
          <w:sz w:val="28"/>
          <w:szCs w:val="28"/>
        </w:rPr>
      </w:pPr>
    </w:p>
    <w:p w14:paraId="7F1D4D9C" w14:textId="77777777" w:rsidR="00F25422" w:rsidRPr="001F0603" w:rsidRDefault="00F25422" w:rsidP="008670C0">
      <w:pPr>
        <w:spacing w:after="0" w:line="240" w:lineRule="auto"/>
        <w:jc w:val="both"/>
        <w:rPr>
          <w:b/>
          <w:sz w:val="16"/>
          <w:szCs w:val="16"/>
        </w:rPr>
      </w:pPr>
    </w:p>
    <w:tbl>
      <w:tblPr>
        <w:tblW w:w="9212" w:type="dxa"/>
        <w:tblInd w:w="108" w:type="dxa"/>
        <w:tblLayout w:type="fixed"/>
        <w:tblLook w:val="01E0" w:firstRow="1" w:lastRow="1" w:firstColumn="1" w:lastColumn="1" w:noHBand="0" w:noVBand="0"/>
      </w:tblPr>
      <w:tblGrid>
        <w:gridCol w:w="108"/>
        <w:gridCol w:w="792"/>
        <w:gridCol w:w="8172"/>
        <w:gridCol w:w="140"/>
      </w:tblGrid>
      <w:tr w:rsidR="008670C0" w:rsidRPr="00F21FC5" w14:paraId="478F1F65" w14:textId="77777777" w:rsidTr="00D74793">
        <w:trPr>
          <w:gridAfter w:val="1"/>
          <w:wAfter w:w="140" w:type="dxa"/>
        </w:trPr>
        <w:tc>
          <w:tcPr>
            <w:tcW w:w="900" w:type="dxa"/>
            <w:gridSpan w:val="2"/>
          </w:tcPr>
          <w:p w14:paraId="223751A2" w14:textId="77777777" w:rsidR="008670C0" w:rsidRPr="00F21FC5" w:rsidRDefault="00CC3A91" w:rsidP="00BB210D">
            <w:pPr>
              <w:spacing w:after="0" w:line="240" w:lineRule="auto"/>
              <w:rPr>
                <w:rFonts w:ascii="Bookman Old Style" w:hAnsi="Bookman Old Style"/>
                <w:sz w:val="14"/>
                <w:szCs w:val="14"/>
              </w:rPr>
            </w:pPr>
            <w:r>
              <w:rPr>
                <w:rFonts w:ascii="Bookman Old Style" w:hAnsi="Bookman Old Style"/>
                <w:noProof/>
                <w:sz w:val="14"/>
                <w:szCs w:val="14"/>
                <w:lang w:eastAsia="pl-PL"/>
              </w:rPr>
              <w:drawing>
                <wp:inline distT="0" distB="0" distL="0" distR="0" wp14:anchorId="4D939AD5" wp14:editId="32A7AB88">
                  <wp:extent cx="497178" cy="747422"/>
                  <wp:effectExtent l="0" t="0" r="0" b="0"/>
                  <wp:docPr id="2" name="Obraz 2" descr="C:\Users\emil.mucinski\Documents\BCC\ZDJECIA\EKSPERCI BCC\Bernatowicz Łuka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mucinski\Documents\BCC\ZDJECIA\EKSPERCI BCC\Bernatowicz Łukas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178" cy="747422"/>
                          </a:xfrm>
                          <a:prstGeom prst="rect">
                            <a:avLst/>
                          </a:prstGeom>
                          <a:noFill/>
                          <a:ln>
                            <a:noFill/>
                          </a:ln>
                        </pic:spPr>
                      </pic:pic>
                    </a:graphicData>
                  </a:graphic>
                </wp:inline>
              </w:drawing>
            </w:r>
          </w:p>
        </w:tc>
        <w:tc>
          <w:tcPr>
            <w:tcW w:w="8172" w:type="dxa"/>
          </w:tcPr>
          <w:p w14:paraId="3F438659" w14:textId="77777777" w:rsidR="008670C0" w:rsidRPr="002A64B9" w:rsidRDefault="008670C0" w:rsidP="00BB210D">
            <w:pPr>
              <w:spacing w:after="0" w:line="240" w:lineRule="auto"/>
              <w:jc w:val="both"/>
              <w:rPr>
                <w:rFonts w:ascii="Bookman Old Style" w:hAnsi="Bookman Old Style"/>
                <w:b/>
                <w:sz w:val="16"/>
                <w:szCs w:val="16"/>
              </w:rPr>
            </w:pPr>
            <w:r w:rsidRPr="002A64B9">
              <w:rPr>
                <w:rFonts w:ascii="Bookman Old Style" w:hAnsi="Bookman Old Style"/>
                <w:b/>
                <w:sz w:val="16"/>
                <w:szCs w:val="16"/>
              </w:rPr>
              <w:t>DR ŁUKASZ BERNATOWICZ</w:t>
            </w:r>
          </w:p>
          <w:p w14:paraId="1C85DDA6" w14:textId="77777777" w:rsidR="008670C0" w:rsidRPr="002A64B9" w:rsidRDefault="008670C0" w:rsidP="00BB210D">
            <w:pPr>
              <w:spacing w:after="0" w:line="240" w:lineRule="auto"/>
              <w:jc w:val="both"/>
              <w:rPr>
                <w:rFonts w:ascii="Bookman Old Style" w:hAnsi="Bookman Old Style"/>
                <w:b/>
                <w:sz w:val="16"/>
                <w:szCs w:val="16"/>
              </w:rPr>
            </w:pPr>
            <w:r w:rsidRPr="002A64B9">
              <w:rPr>
                <w:rFonts w:ascii="Bookman Old Style" w:hAnsi="Bookman Old Style"/>
                <w:b/>
                <w:sz w:val="16"/>
                <w:szCs w:val="16"/>
              </w:rPr>
              <w:t>minister infrastruktury</w:t>
            </w:r>
          </w:p>
          <w:p w14:paraId="5694F08F" w14:textId="77777777" w:rsidR="008670C0" w:rsidRPr="00F46CAF" w:rsidRDefault="008670C0" w:rsidP="00BB210D">
            <w:pPr>
              <w:spacing w:after="0" w:line="240" w:lineRule="auto"/>
              <w:jc w:val="both"/>
              <w:textAlignment w:val="baseline"/>
              <w:rPr>
                <w:rFonts w:ascii="Bookman Old Style" w:hAnsi="Bookman Old Style" w:cs="Arial"/>
                <w:i/>
                <w:sz w:val="14"/>
                <w:szCs w:val="14"/>
                <w:lang w:eastAsia="pl-PL"/>
              </w:rPr>
            </w:pPr>
            <w:r w:rsidRPr="00F46CAF">
              <w:rPr>
                <w:rFonts w:ascii="Bookman Old Style" w:hAnsi="Bookman Old Style" w:cs="Arial"/>
                <w:i/>
                <w:sz w:val="14"/>
                <w:szCs w:val="14"/>
                <w:lang w:eastAsia="pl-PL"/>
              </w:rPr>
              <w:t>Dr nauk prawnych, radca prawny z wieloletnim doświadczeniem w zakresie prawa cywilnego i handlowego, ze szczególnym uwzględnieniem transakcji związanych z nabywaniem nieruchomości i finansowaniem ich nabycia, fuzjami oraz przejęciem spółek. Arbiter w Sądzie Arbitrażowym przy Krajowej Izbie Gospodarczej w Warszawie z zakresu prawa spółek, prawa finansowego, prawa budowlanego, projektów infrastrukturalnych, szeroko pojętych umów handlowych oraz prawa nieruchomości.</w:t>
            </w:r>
          </w:p>
          <w:p w14:paraId="2ADD9430" w14:textId="77777777" w:rsidR="008670C0" w:rsidRPr="00D15E4A" w:rsidRDefault="008670C0" w:rsidP="00BB210D">
            <w:pPr>
              <w:spacing w:after="0" w:line="240" w:lineRule="auto"/>
              <w:jc w:val="right"/>
              <w:rPr>
                <w:rFonts w:ascii="Bookman Old Style" w:hAnsi="Bookman Old Style"/>
                <w:b/>
                <w:sz w:val="14"/>
                <w:szCs w:val="14"/>
              </w:rPr>
            </w:pPr>
            <w:r w:rsidRPr="00D15E4A">
              <w:rPr>
                <w:rFonts w:ascii="Bookman Old Style" w:hAnsi="Bookman Old Style"/>
                <w:b/>
                <w:sz w:val="14"/>
                <w:szCs w:val="14"/>
              </w:rPr>
              <w:sym w:font="Wingdings 2" w:char="F027"/>
            </w:r>
            <w:r w:rsidRPr="00D15E4A">
              <w:rPr>
                <w:rFonts w:ascii="Bookman Old Style" w:hAnsi="Bookman Old Style"/>
                <w:b/>
                <w:sz w:val="14"/>
                <w:szCs w:val="14"/>
              </w:rPr>
              <w:t xml:space="preserve"> </w:t>
            </w:r>
            <w:hyperlink r:id="rId9" w:history="1">
              <w:r w:rsidRPr="0008273D">
                <w:rPr>
                  <w:rStyle w:val="Hipercze"/>
                  <w:rFonts w:ascii="Bookman Old Style" w:hAnsi="Bookman Old Style"/>
                  <w:b/>
                  <w:sz w:val="14"/>
                  <w:szCs w:val="14"/>
                </w:rPr>
                <w:t>502 066 619</w:t>
              </w:r>
            </w:hyperlink>
            <w:r w:rsidRPr="00D15E4A">
              <w:rPr>
                <w:rFonts w:ascii="Bookman Old Style" w:hAnsi="Bookman Old Style"/>
                <w:b/>
                <w:sz w:val="14"/>
                <w:szCs w:val="14"/>
              </w:rPr>
              <w:t xml:space="preserve"> </w:t>
            </w:r>
            <w:r w:rsidRPr="00D15E4A">
              <w:rPr>
                <w:rFonts w:ascii="Bookman Old Style" w:hAnsi="Bookman Old Style"/>
                <w:b/>
                <w:sz w:val="14"/>
                <w:szCs w:val="14"/>
              </w:rPr>
              <w:sym w:font="Wingdings" w:char="F02A"/>
            </w:r>
            <w:r w:rsidRPr="00D15E4A">
              <w:rPr>
                <w:rFonts w:ascii="Bookman Old Style" w:hAnsi="Bookman Old Style"/>
                <w:b/>
                <w:sz w:val="14"/>
                <w:szCs w:val="14"/>
              </w:rPr>
              <w:t> lukasz.bernatowicz@bcc.org.pl</w:t>
            </w:r>
          </w:p>
          <w:p w14:paraId="118AC10B" w14:textId="77777777" w:rsidR="008670C0" w:rsidRDefault="008670C0" w:rsidP="00BB210D">
            <w:pPr>
              <w:spacing w:after="0" w:line="240" w:lineRule="auto"/>
              <w:textAlignment w:val="baseline"/>
              <w:rPr>
                <w:rFonts w:ascii="Bookman Old Style" w:hAnsi="Bookman Old Style"/>
                <w:sz w:val="14"/>
                <w:szCs w:val="14"/>
              </w:rPr>
            </w:pPr>
          </w:p>
          <w:p w14:paraId="131C810A" w14:textId="77777777" w:rsidR="008670C0" w:rsidRPr="002A64B9" w:rsidRDefault="008670C0" w:rsidP="00BB210D">
            <w:pPr>
              <w:spacing w:after="0" w:line="240" w:lineRule="auto"/>
              <w:textAlignment w:val="baseline"/>
              <w:rPr>
                <w:rFonts w:ascii="Bookman Old Style" w:hAnsi="Bookman Old Style"/>
                <w:sz w:val="14"/>
                <w:szCs w:val="14"/>
              </w:rPr>
            </w:pPr>
          </w:p>
        </w:tc>
      </w:tr>
      <w:tr w:rsidR="00D74793" w:rsidRPr="000325CF" w14:paraId="3016A9D9" w14:textId="77777777" w:rsidTr="00D747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8" w:type="dxa"/>
        </w:trPr>
        <w:tc>
          <w:tcPr>
            <w:tcW w:w="9104" w:type="dxa"/>
            <w:gridSpan w:val="3"/>
          </w:tcPr>
          <w:p w14:paraId="676BDD53" w14:textId="77777777" w:rsidR="00D74793" w:rsidRPr="000325CF" w:rsidRDefault="00D74793" w:rsidP="00841F3F">
            <w:pPr>
              <w:spacing w:after="0"/>
              <w:jc w:val="center"/>
            </w:pPr>
            <w:r w:rsidRPr="00D74793">
              <w:rPr>
                <w:b/>
                <w:bCs/>
              </w:rPr>
              <w:t>REKOMENDACJE DLA RZĄDU</w:t>
            </w:r>
          </w:p>
        </w:tc>
      </w:tr>
      <w:tr w:rsidR="00D74793" w:rsidRPr="00A25584" w14:paraId="0C4CD95A" w14:textId="77777777" w:rsidTr="00D747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8" w:type="dxa"/>
          <w:trHeight w:val="1266"/>
        </w:trPr>
        <w:tc>
          <w:tcPr>
            <w:tcW w:w="9104" w:type="dxa"/>
            <w:gridSpan w:val="3"/>
          </w:tcPr>
          <w:p w14:paraId="707EA480" w14:textId="77777777" w:rsidR="00D74793" w:rsidRPr="00D74793" w:rsidRDefault="00D74793" w:rsidP="00841F3F">
            <w:pPr>
              <w:pStyle w:val="Akapitzlist"/>
              <w:spacing w:after="0" w:line="360" w:lineRule="auto"/>
              <w:jc w:val="both"/>
              <w:rPr>
                <w:rFonts w:ascii="Arial" w:hAnsi="Arial" w:cs="Arial"/>
                <w:sz w:val="18"/>
                <w:szCs w:val="18"/>
              </w:rPr>
            </w:pPr>
          </w:p>
          <w:p w14:paraId="4F07E445" w14:textId="1A352037" w:rsidR="00D74793" w:rsidRPr="00D74793" w:rsidRDefault="00CB209D" w:rsidP="00D74793">
            <w:pPr>
              <w:pStyle w:val="Akapitzlist"/>
              <w:numPr>
                <w:ilvl w:val="0"/>
                <w:numId w:val="9"/>
              </w:numPr>
              <w:spacing w:after="0" w:line="240" w:lineRule="auto"/>
              <w:jc w:val="both"/>
              <w:rPr>
                <w:rFonts w:ascii="Arial" w:hAnsi="Arial" w:cs="Arial"/>
                <w:sz w:val="18"/>
                <w:szCs w:val="18"/>
              </w:rPr>
            </w:pPr>
            <w:r>
              <w:rPr>
                <w:rFonts w:ascii="Arial" w:hAnsi="Arial" w:cs="Arial"/>
                <w:sz w:val="18"/>
                <w:szCs w:val="18"/>
              </w:rPr>
              <w:t xml:space="preserve">Brak </w:t>
            </w:r>
            <w:r w:rsidR="00D74793">
              <w:rPr>
                <w:rFonts w:ascii="Arial" w:hAnsi="Arial" w:cs="Arial"/>
                <w:sz w:val="18"/>
                <w:szCs w:val="18"/>
              </w:rPr>
              <w:t>środków z KPO</w:t>
            </w:r>
            <w:r>
              <w:rPr>
                <w:rFonts w:ascii="Arial" w:hAnsi="Arial" w:cs="Arial"/>
                <w:sz w:val="18"/>
                <w:szCs w:val="18"/>
              </w:rPr>
              <w:t>! -</w:t>
            </w:r>
            <w:r w:rsidR="00D74793">
              <w:rPr>
                <w:rFonts w:ascii="Arial" w:hAnsi="Arial" w:cs="Arial"/>
                <w:sz w:val="18"/>
                <w:szCs w:val="18"/>
              </w:rPr>
              <w:t xml:space="preserve"> </w:t>
            </w:r>
            <w:r>
              <w:rPr>
                <w:rFonts w:ascii="Arial" w:hAnsi="Arial" w:cs="Arial"/>
                <w:sz w:val="18"/>
                <w:szCs w:val="18"/>
              </w:rPr>
              <w:t>propozycja</w:t>
            </w:r>
            <w:r w:rsidR="00D74793">
              <w:rPr>
                <w:rFonts w:ascii="Arial" w:hAnsi="Arial" w:cs="Arial"/>
                <w:sz w:val="18"/>
                <w:szCs w:val="18"/>
              </w:rPr>
              <w:t xml:space="preserve"> działań zaradczych</w:t>
            </w:r>
          </w:p>
          <w:p w14:paraId="66BA188D" w14:textId="789EF0D5" w:rsidR="00D74793" w:rsidRPr="00D74793" w:rsidRDefault="00CB209D" w:rsidP="00D74793">
            <w:pPr>
              <w:pStyle w:val="Akapitzlist"/>
              <w:numPr>
                <w:ilvl w:val="0"/>
                <w:numId w:val="9"/>
              </w:numPr>
              <w:spacing w:after="0" w:line="240" w:lineRule="auto"/>
              <w:jc w:val="both"/>
              <w:rPr>
                <w:rFonts w:ascii="Arial" w:hAnsi="Arial" w:cs="Arial"/>
                <w:sz w:val="18"/>
                <w:szCs w:val="18"/>
              </w:rPr>
            </w:pPr>
            <w:r>
              <w:rPr>
                <w:rFonts w:ascii="Arial" w:hAnsi="Arial" w:cs="Arial"/>
                <w:sz w:val="18"/>
                <w:szCs w:val="18"/>
              </w:rPr>
              <w:t>D</w:t>
            </w:r>
            <w:r w:rsidR="00D74793" w:rsidRPr="00D74793">
              <w:rPr>
                <w:rFonts w:ascii="Arial" w:hAnsi="Arial" w:cs="Arial"/>
                <w:sz w:val="18"/>
                <w:szCs w:val="18"/>
              </w:rPr>
              <w:t>rastyczn</w:t>
            </w:r>
            <w:r>
              <w:rPr>
                <w:rFonts w:ascii="Arial" w:hAnsi="Arial" w:cs="Arial"/>
                <w:sz w:val="18"/>
                <w:szCs w:val="18"/>
              </w:rPr>
              <w:t>y</w:t>
            </w:r>
            <w:r w:rsidR="00D74793" w:rsidRPr="00D74793">
              <w:rPr>
                <w:rFonts w:ascii="Arial" w:hAnsi="Arial" w:cs="Arial"/>
                <w:sz w:val="18"/>
                <w:szCs w:val="18"/>
              </w:rPr>
              <w:t xml:space="preserve"> wzrost</w:t>
            </w:r>
            <w:r w:rsidR="00D74793">
              <w:rPr>
                <w:rFonts w:ascii="Arial" w:hAnsi="Arial" w:cs="Arial"/>
                <w:sz w:val="18"/>
                <w:szCs w:val="18"/>
              </w:rPr>
              <w:t>u</w:t>
            </w:r>
            <w:r w:rsidR="00D74793" w:rsidRPr="00D74793">
              <w:rPr>
                <w:rFonts w:ascii="Arial" w:hAnsi="Arial" w:cs="Arial"/>
                <w:sz w:val="18"/>
                <w:szCs w:val="18"/>
              </w:rPr>
              <w:t xml:space="preserve"> cen na budowach</w:t>
            </w:r>
            <w:r>
              <w:rPr>
                <w:rFonts w:ascii="Arial" w:hAnsi="Arial" w:cs="Arial"/>
                <w:sz w:val="18"/>
                <w:szCs w:val="18"/>
              </w:rPr>
              <w:t xml:space="preserve"> – konieczna walka z inflacją</w:t>
            </w:r>
            <w:r w:rsidR="00D74793" w:rsidRPr="00D74793">
              <w:rPr>
                <w:rFonts w:ascii="Arial" w:hAnsi="Arial" w:cs="Arial"/>
                <w:sz w:val="18"/>
                <w:szCs w:val="18"/>
              </w:rPr>
              <w:t>.</w:t>
            </w:r>
          </w:p>
        </w:tc>
      </w:tr>
    </w:tbl>
    <w:p w14:paraId="7B3B1C65" w14:textId="77777777" w:rsidR="00D74793" w:rsidRPr="00FE3855" w:rsidRDefault="00D74793" w:rsidP="00D74793">
      <w:pPr>
        <w:spacing w:after="0"/>
        <w:rPr>
          <w:sz w:val="12"/>
          <w:szCs w:val="16"/>
        </w:rPr>
      </w:pPr>
    </w:p>
    <w:p w14:paraId="25BD5291" w14:textId="77777777" w:rsidR="00D74793" w:rsidRPr="00FE3855" w:rsidRDefault="00D74793" w:rsidP="00D74793">
      <w:pPr>
        <w:spacing w:after="0"/>
        <w:rPr>
          <w:sz w:val="12"/>
          <w:szCs w:val="1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D74793" w:rsidRPr="00FA53AC" w14:paraId="2C0BD452" w14:textId="77777777" w:rsidTr="00D74793">
        <w:tc>
          <w:tcPr>
            <w:tcW w:w="9072" w:type="dxa"/>
          </w:tcPr>
          <w:p w14:paraId="6B155286" w14:textId="26A154E2" w:rsidR="00D74793" w:rsidRPr="00FA53AC" w:rsidRDefault="00D74793" w:rsidP="00841F3F">
            <w:pPr>
              <w:spacing w:after="0" w:line="312" w:lineRule="auto"/>
              <w:jc w:val="center"/>
              <w:rPr>
                <w:b/>
              </w:rPr>
            </w:pPr>
            <w:r w:rsidRPr="00FA53AC">
              <w:rPr>
                <w:b/>
              </w:rPr>
              <w:t xml:space="preserve">PODSUMOWANIE </w:t>
            </w:r>
            <w:r>
              <w:rPr>
                <w:b/>
              </w:rPr>
              <w:t>DOTYCHCZASOWYCHJ DZIAŁAŃ RZĄDU W OBSZARZE INFRASTRUKTURA I BUDOWNICTWO</w:t>
            </w:r>
          </w:p>
        </w:tc>
      </w:tr>
      <w:tr w:rsidR="00D74793" w:rsidRPr="008E12F1" w14:paraId="4EC52902" w14:textId="77777777" w:rsidTr="00D74793">
        <w:trPr>
          <w:trHeight w:val="53"/>
        </w:trPr>
        <w:tc>
          <w:tcPr>
            <w:tcW w:w="9072" w:type="dxa"/>
          </w:tcPr>
          <w:p w14:paraId="11CE2BF7" w14:textId="77777777" w:rsidR="00D74793" w:rsidRPr="00A5176C" w:rsidRDefault="00D74793" w:rsidP="00D74793">
            <w:pPr>
              <w:spacing w:after="0" w:line="360" w:lineRule="auto"/>
              <w:jc w:val="both"/>
              <w:rPr>
                <w:rFonts w:ascii="Arial" w:hAnsi="Arial" w:cs="Arial"/>
                <w:sz w:val="24"/>
                <w:szCs w:val="24"/>
              </w:rPr>
            </w:pPr>
          </w:p>
          <w:p w14:paraId="26B5B558" w14:textId="1C81F70E" w:rsidR="00D74793" w:rsidRDefault="00042024" w:rsidP="00042024">
            <w:pPr>
              <w:spacing w:after="0" w:line="360" w:lineRule="auto"/>
              <w:rPr>
                <w:rFonts w:ascii="Arial" w:hAnsi="Arial" w:cs="Arial"/>
                <w:sz w:val="18"/>
                <w:szCs w:val="18"/>
              </w:rPr>
            </w:pPr>
            <w:r w:rsidRPr="00042024">
              <w:rPr>
                <w:rFonts w:ascii="Arial" w:hAnsi="Arial" w:cs="Arial"/>
                <w:b/>
                <w:bCs/>
                <w:sz w:val="18"/>
                <w:szCs w:val="18"/>
              </w:rPr>
              <w:t>Z</w:t>
            </w:r>
            <w:r w:rsidR="00D74793" w:rsidRPr="00042024">
              <w:rPr>
                <w:rFonts w:ascii="Arial" w:hAnsi="Arial" w:cs="Arial"/>
                <w:b/>
                <w:bCs/>
                <w:sz w:val="18"/>
                <w:szCs w:val="18"/>
              </w:rPr>
              <w:t>agrożenie inwestycji infrastrukturalnych</w:t>
            </w:r>
            <w:r w:rsidR="00D74793" w:rsidRPr="00042024">
              <w:rPr>
                <w:rFonts w:ascii="Arial" w:hAnsi="Arial" w:cs="Arial"/>
                <w:sz w:val="18"/>
                <w:szCs w:val="18"/>
              </w:rPr>
              <w:t>.</w:t>
            </w:r>
          </w:p>
          <w:p w14:paraId="5D345DEE" w14:textId="674C385B" w:rsidR="00CB209D" w:rsidRPr="00CB209D" w:rsidRDefault="00CB209D" w:rsidP="00CB209D">
            <w:pPr>
              <w:spacing w:after="0" w:line="360" w:lineRule="auto"/>
              <w:jc w:val="both"/>
              <w:rPr>
                <w:rFonts w:ascii="Arial" w:hAnsi="Arial" w:cs="Arial"/>
                <w:sz w:val="18"/>
                <w:szCs w:val="18"/>
              </w:rPr>
            </w:pPr>
          </w:p>
          <w:p w14:paraId="0EE4050F" w14:textId="73DF6C1C" w:rsidR="00CB209D" w:rsidRDefault="00CB209D" w:rsidP="00CB209D">
            <w:pPr>
              <w:pStyle w:val="Akapitzlist"/>
              <w:numPr>
                <w:ilvl w:val="0"/>
                <w:numId w:val="25"/>
              </w:numPr>
              <w:spacing w:after="0" w:line="360" w:lineRule="auto"/>
              <w:jc w:val="both"/>
              <w:rPr>
                <w:rFonts w:ascii="Arial" w:hAnsi="Arial" w:cs="Arial"/>
                <w:sz w:val="18"/>
                <w:szCs w:val="18"/>
              </w:rPr>
            </w:pPr>
            <w:r w:rsidRPr="003C0A9F">
              <w:rPr>
                <w:rFonts w:ascii="Arial" w:hAnsi="Arial" w:cs="Arial"/>
                <w:b/>
                <w:bCs/>
                <w:sz w:val="18"/>
                <w:szCs w:val="18"/>
              </w:rPr>
              <w:t xml:space="preserve">W inwestycjach kolejowych realizuje się czarny scenariusz. Zapowiadane wcześniej przez zarządzającą infrastrukturą spółkę PKP PLK plany ogłoszenia w tym roku co najmniej 60 przetargów na modernizację torów o wartości ponad 17 </w:t>
            </w:r>
            <w:r w:rsidR="003C0A9F" w:rsidRPr="003C0A9F">
              <w:rPr>
                <w:rFonts w:ascii="Arial" w:hAnsi="Arial" w:cs="Arial"/>
                <w:b/>
                <w:bCs/>
                <w:sz w:val="18"/>
                <w:szCs w:val="18"/>
              </w:rPr>
              <w:t>mld.</w:t>
            </w:r>
            <w:r w:rsidRPr="003C0A9F">
              <w:rPr>
                <w:rFonts w:ascii="Arial" w:hAnsi="Arial" w:cs="Arial"/>
                <w:b/>
                <w:bCs/>
                <w:sz w:val="18"/>
                <w:szCs w:val="18"/>
              </w:rPr>
              <w:t xml:space="preserve"> zł posypały się jak domek z kart. </w:t>
            </w:r>
            <w:r w:rsidRPr="00CB209D">
              <w:rPr>
                <w:rFonts w:ascii="Arial" w:hAnsi="Arial" w:cs="Arial"/>
                <w:sz w:val="18"/>
                <w:szCs w:val="18"/>
              </w:rPr>
              <w:t>Wszystko wskazuje na to, że skończy się na przetargach za 3 mld zł</w:t>
            </w:r>
            <w:r>
              <w:rPr>
                <w:rFonts w:ascii="Arial" w:hAnsi="Arial" w:cs="Arial"/>
                <w:sz w:val="18"/>
                <w:szCs w:val="18"/>
              </w:rPr>
              <w:t xml:space="preserve">. </w:t>
            </w:r>
            <w:r w:rsidRPr="00CB209D">
              <w:rPr>
                <w:rFonts w:ascii="Arial" w:hAnsi="Arial" w:cs="Arial"/>
                <w:sz w:val="18"/>
                <w:szCs w:val="18"/>
              </w:rPr>
              <w:t xml:space="preserve">Inwestycje kolejowe są uzależnione od środków unijnych a ze względu na skonfliktowanie rządu z Unią Europejską pieniądze pewnie prędko się nie pojawią, o ile w ogóle. Trzeba też </w:t>
            </w:r>
            <w:r w:rsidRPr="00CB209D">
              <w:rPr>
                <w:rFonts w:ascii="Arial" w:hAnsi="Arial" w:cs="Arial"/>
                <w:sz w:val="18"/>
                <w:szCs w:val="18"/>
              </w:rPr>
              <w:t>pamiętać,</w:t>
            </w:r>
            <w:r w:rsidRPr="00CB209D">
              <w:rPr>
                <w:rFonts w:ascii="Arial" w:hAnsi="Arial" w:cs="Arial"/>
                <w:sz w:val="18"/>
                <w:szCs w:val="18"/>
              </w:rPr>
              <w:t xml:space="preserve"> że podobne problemy były również poprzedniej perspektywie unijnej - nie udało się zrealizować wszystkich planów.</w:t>
            </w:r>
            <w:r>
              <w:rPr>
                <w:rFonts w:ascii="Arial" w:hAnsi="Arial" w:cs="Arial"/>
                <w:sz w:val="18"/>
                <w:szCs w:val="18"/>
              </w:rPr>
              <w:t xml:space="preserve"> </w:t>
            </w:r>
            <w:r w:rsidRPr="00CB209D">
              <w:rPr>
                <w:rFonts w:ascii="Arial" w:hAnsi="Arial" w:cs="Arial"/>
                <w:sz w:val="18"/>
                <w:szCs w:val="18"/>
              </w:rPr>
              <w:t xml:space="preserve">Sytuacje miały poprawić środki z KPO, które mogły być dostępna jeszcze w tym </w:t>
            </w:r>
            <w:r w:rsidRPr="00CB209D">
              <w:rPr>
                <w:rFonts w:ascii="Arial" w:hAnsi="Arial" w:cs="Arial"/>
                <w:sz w:val="18"/>
                <w:szCs w:val="18"/>
              </w:rPr>
              <w:t>roku,</w:t>
            </w:r>
            <w:r w:rsidRPr="00CB209D">
              <w:rPr>
                <w:rFonts w:ascii="Arial" w:hAnsi="Arial" w:cs="Arial"/>
                <w:sz w:val="18"/>
                <w:szCs w:val="18"/>
              </w:rPr>
              <w:t xml:space="preserve"> ale już wiemy, że ich nie będzie. Natomiast program Feniks, następca programu Infrastruktura i Środowisko jest dopiero na etapie ogólnego projektu. Część firm związanych z budowami kolejowymi nie ma już </w:t>
            </w:r>
            <w:r>
              <w:rPr>
                <w:rFonts w:ascii="Arial" w:hAnsi="Arial" w:cs="Arial"/>
                <w:sz w:val="18"/>
                <w:szCs w:val="18"/>
              </w:rPr>
              <w:t>zamówień</w:t>
            </w:r>
            <w:r w:rsidRPr="00CB209D">
              <w:rPr>
                <w:rFonts w:ascii="Arial" w:hAnsi="Arial" w:cs="Arial"/>
                <w:sz w:val="18"/>
                <w:szCs w:val="18"/>
              </w:rPr>
              <w:t xml:space="preserve"> i od pewnego czasu zwalnia pracowników. W pierwszej kolejności są to dostawcy materiałów takich jak podkłady kolejowe czy rozjazdy niezbędne do budowy i modernizacji torów. Coraz większe problemy mają też biura projektowe.</w:t>
            </w:r>
          </w:p>
          <w:p w14:paraId="6EE8E425" w14:textId="77777777" w:rsidR="008B7503" w:rsidRDefault="00CB209D" w:rsidP="003C0A9F">
            <w:pPr>
              <w:pStyle w:val="Akapitzlist"/>
              <w:spacing w:after="0" w:line="360" w:lineRule="auto"/>
              <w:jc w:val="both"/>
              <w:rPr>
                <w:rFonts w:ascii="Arial" w:hAnsi="Arial" w:cs="Arial"/>
                <w:b/>
                <w:bCs/>
                <w:sz w:val="18"/>
                <w:szCs w:val="18"/>
              </w:rPr>
            </w:pPr>
            <w:r w:rsidRPr="003C0A9F">
              <w:rPr>
                <w:rFonts w:ascii="Arial" w:hAnsi="Arial" w:cs="Arial"/>
                <w:b/>
                <w:bCs/>
                <w:sz w:val="18"/>
                <w:szCs w:val="18"/>
              </w:rPr>
              <w:lastRenderedPageBreak/>
              <w:t xml:space="preserve">Oprócz problemów z finansowaniem nowych projektów część postępowań musi zostać przesunięta z powodu zmiany ustaw środowiskowych, które liberalizują przepisy pozwalające zaskarżyć przetargową dokumentację przyrodniczą. </w:t>
            </w:r>
          </w:p>
          <w:p w14:paraId="08B1E82F" w14:textId="3BB020D8" w:rsidR="003C0A9F" w:rsidRDefault="00CB209D" w:rsidP="003C0A9F">
            <w:pPr>
              <w:pStyle w:val="Akapitzlist"/>
              <w:spacing w:after="0" w:line="360" w:lineRule="auto"/>
              <w:jc w:val="both"/>
              <w:rPr>
                <w:rFonts w:ascii="Arial" w:hAnsi="Arial" w:cs="Arial"/>
                <w:sz w:val="18"/>
                <w:szCs w:val="18"/>
              </w:rPr>
            </w:pPr>
            <w:r w:rsidRPr="00CB209D">
              <w:rPr>
                <w:rFonts w:ascii="Arial" w:hAnsi="Arial" w:cs="Arial"/>
                <w:sz w:val="18"/>
                <w:szCs w:val="18"/>
              </w:rPr>
              <w:t xml:space="preserve">To duże </w:t>
            </w:r>
            <w:r w:rsidR="003C0A9F" w:rsidRPr="00CB209D">
              <w:rPr>
                <w:rFonts w:ascii="Arial" w:hAnsi="Arial" w:cs="Arial"/>
                <w:sz w:val="18"/>
                <w:szCs w:val="18"/>
              </w:rPr>
              <w:t>zagrożenie,</w:t>
            </w:r>
            <w:r w:rsidRPr="00CB209D">
              <w:rPr>
                <w:rFonts w:ascii="Arial" w:hAnsi="Arial" w:cs="Arial"/>
                <w:sz w:val="18"/>
                <w:szCs w:val="18"/>
              </w:rPr>
              <w:t xml:space="preserve"> bo w przypadku inwestycji kolejowych dla których decyzji o środowiskowych uwarunkowaniach wydawane były w latach 2016 - 2020 odwołania złożone przez osoby prywatne i organizacje ekologiczne dotyczyły blisko jednej piątej przypadków. Obecnie ten odsetek będzie rósł.</w:t>
            </w:r>
            <w:r w:rsidR="003C0A9F">
              <w:rPr>
                <w:rFonts w:ascii="Arial" w:hAnsi="Arial" w:cs="Arial"/>
                <w:sz w:val="18"/>
                <w:szCs w:val="18"/>
              </w:rPr>
              <w:t xml:space="preserve"> </w:t>
            </w:r>
            <w:r w:rsidRPr="00CB209D">
              <w:rPr>
                <w:rFonts w:ascii="Arial" w:hAnsi="Arial" w:cs="Arial"/>
                <w:sz w:val="18"/>
                <w:szCs w:val="18"/>
              </w:rPr>
              <w:t>Problemem jest skokowy wzrost cen materiałów i kosztów pracy. Istnieje duże ryzyko, że w konsekwencji firmy budowlane będą musiały do kontraktów dopłacać.</w:t>
            </w:r>
          </w:p>
          <w:p w14:paraId="227C2C47" w14:textId="77777777" w:rsidR="003C0A9F" w:rsidRDefault="003C0A9F" w:rsidP="003C0A9F">
            <w:pPr>
              <w:pStyle w:val="Akapitzlist"/>
              <w:spacing w:after="0" w:line="360" w:lineRule="auto"/>
              <w:jc w:val="both"/>
              <w:rPr>
                <w:rFonts w:ascii="Arial" w:hAnsi="Arial" w:cs="Arial"/>
                <w:sz w:val="18"/>
                <w:szCs w:val="18"/>
              </w:rPr>
            </w:pPr>
          </w:p>
          <w:p w14:paraId="40817A53" w14:textId="5D4355A5" w:rsidR="003C0A9F" w:rsidRDefault="00CB209D" w:rsidP="003C0A9F">
            <w:pPr>
              <w:pStyle w:val="Akapitzlist"/>
              <w:numPr>
                <w:ilvl w:val="0"/>
                <w:numId w:val="25"/>
              </w:numPr>
              <w:spacing w:after="0" w:line="360" w:lineRule="auto"/>
              <w:jc w:val="both"/>
              <w:rPr>
                <w:rFonts w:ascii="Arial" w:hAnsi="Arial" w:cs="Arial"/>
                <w:sz w:val="18"/>
                <w:szCs w:val="18"/>
              </w:rPr>
            </w:pPr>
            <w:r w:rsidRPr="00CB209D">
              <w:rPr>
                <w:rFonts w:ascii="Arial" w:hAnsi="Arial" w:cs="Arial"/>
                <w:sz w:val="18"/>
                <w:szCs w:val="18"/>
              </w:rPr>
              <w:t xml:space="preserve">Ogromny wzrost cen materiałów budowlanych powoduje znaczny wzrost kosztów wykonywania zamówień w zakresie inwestycji infrastrukturalnych. Drożejąca stal, beton, kruszywa, styropian, piasek, </w:t>
            </w:r>
            <w:r w:rsidR="003C0A9F" w:rsidRPr="00CB209D">
              <w:rPr>
                <w:rFonts w:ascii="Arial" w:hAnsi="Arial" w:cs="Arial"/>
                <w:sz w:val="18"/>
                <w:szCs w:val="18"/>
              </w:rPr>
              <w:t>etc.</w:t>
            </w:r>
            <w:r w:rsidRPr="00CB209D">
              <w:rPr>
                <w:rFonts w:ascii="Arial" w:hAnsi="Arial" w:cs="Arial"/>
                <w:sz w:val="18"/>
                <w:szCs w:val="18"/>
              </w:rPr>
              <w:t xml:space="preserve">, powoduje, że wykonanie umów na warunkach kosztorysów sprzed kilku czy kilkunastu miesięcy może okazać się niemożliwa. Istnieje ryzyko kaskadowej niewypłacalności wykonawców, od generalnego poprzez cały łańcuch podwykonawców, co skutkować będzie lawiną bankructw. Mieliśmy już taką sytuację w latach 2012-2015, i nauczeni tym doświadczeniem rząd powinien interweniować z wyprzedzeniem. W przeciwnym razie wykonanie wielu inwestycji infrastrukturalnych, korzystających ze środków unijnych może okazać się niemożliwe, a dofinansowanie może przepaść. </w:t>
            </w:r>
          </w:p>
          <w:p w14:paraId="7B39954C" w14:textId="77777777" w:rsidR="003C0A9F" w:rsidRDefault="003C0A9F" w:rsidP="003C0A9F">
            <w:pPr>
              <w:pStyle w:val="Akapitzlist"/>
              <w:spacing w:after="0" w:line="360" w:lineRule="auto"/>
              <w:jc w:val="both"/>
              <w:rPr>
                <w:rFonts w:ascii="Arial" w:hAnsi="Arial" w:cs="Arial"/>
                <w:sz w:val="18"/>
                <w:szCs w:val="18"/>
              </w:rPr>
            </w:pPr>
          </w:p>
          <w:p w14:paraId="3A949B41" w14:textId="23A9E73E" w:rsidR="003C0A9F" w:rsidRDefault="00CB209D" w:rsidP="00CB209D">
            <w:pPr>
              <w:pStyle w:val="Akapitzlist"/>
              <w:numPr>
                <w:ilvl w:val="0"/>
                <w:numId w:val="25"/>
              </w:numPr>
              <w:spacing w:after="0" w:line="360" w:lineRule="auto"/>
              <w:jc w:val="both"/>
              <w:rPr>
                <w:rFonts w:ascii="Arial" w:hAnsi="Arial" w:cs="Arial"/>
                <w:sz w:val="18"/>
                <w:szCs w:val="18"/>
              </w:rPr>
            </w:pPr>
            <w:r w:rsidRPr="003C0A9F">
              <w:rPr>
                <w:rFonts w:ascii="Arial" w:hAnsi="Arial" w:cs="Arial"/>
                <w:sz w:val="18"/>
                <w:szCs w:val="18"/>
              </w:rPr>
              <w:t>Generalna Dyrekcja Dróg Krajowych i Autostrad planuje w przyszłym roku ogłosić przetargi na budowę 252 kilometrów dróg. Jak podano w komunikacie GDDKiA, do końca grudnia tego roku planowane jest jeszcze ogłoszenie przetargów na 11 odcinków dróg o łącznej długości ponad 100 km.</w:t>
            </w:r>
            <w:r w:rsidR="003C0A9F">
              <w:rPr>
                <w:rFonts w:ascii="Arial" w:hAnsi="Arial" w:cs="Arial"/>
                <w:sz w:val="18"/>
                <w:szCs w:val="18"/>
              </w:rPr>
              <w:t xml:space="preserve"> </w:t>
            </w:r>
            <w:r w:rsidRPr="003C0A9F">
              <w:rPr>
                <w:rFonts w:ascii="Arial" w:hAnsi="Arial" w:cs="Arial"/>
                <w:sz w:val="18"/>
                <w:szCs w:val="18"/>
              </w:rPr>
              <w:t>GDDKiA planuje w 2022 roku ogłosić przetargi na budowę 252 km dróg -</w:t>
            </w:r>
            <w:r w:rsidR="003C0A9F">
              <w:rPr>
                <w:rFonts w:ascii="Arial" w:hAnsi="Arial" w:cs="Arial"/>
                <w:sz w:val="18"/>
                <w:szCs w:val="18"/>
              </w:rPr>
              <w:t xml:space="preserve"> </w:t>
            </w:r>
            <w:r w:rsidR="008B7503">
              <w:rPr>
                <w:rFonts w:ascii="Arial" w:hAnsi="Arial" w:cs="Arial"/>
                <w:sz w:val="18"/>
                <w:szCs w:val="18"/>
              </w:rPr>
              <w:t>„</w:t>
            </w:r>
            <w:r w:rsidRPr="003C0A9F">
              <w:rPr>
                <w:rFonts w:ascii="Arial" w:hAnsi="Arial" w:cs="Arial"/>
                <w:sz w:val="18"/>
                <w:szCs w:val="18"/>
              </w:rPr>
              <w:t xml:space="preserve">W 2022 r. planujemy ogłoszenie przetargów na co najmniej 24 odcinki dróg o łącznej długości 252 km. Są to wstępne założenia. Po zapewnieniu finansowania będziemy mogli ogłosić postępowania przetargowe dla kolejnych inwestycji" </w:t>
            </w:r>
            <w:r w:rsidR="008B7503">
              <w:rPr>
                <w:rFonts w:ascii="Arial" w:hAnsi="Arial" w:cs="Arial"/>
                <w:sz w:val="18"/>
                <w:szCs w:val="18"/>
              </w:rPr>
              <w:t>–</w:t>
            </w:r>
            <w:r w:rsidRPr="003C0A9F">
              <w:rPr>
                <w:rFonts w:ascii="Arial" w:hAnsi="Arial" w:cs="Arial"/>
                <w:sz w:val="18"/>
                <w:szCs w:val="18"/>
              </w:rPr>
              <w:t xml:space="preserve"> napisano</w:t>
            </w:r>
            <w:r w:rsidR="008B7503">
              <w:rPr>
                <w:rFonts w:ascii="Arial" w:hAnsi="Arial" w:cs="Arial"/>
                <w:sz w:val="18"/>
                <w:szCs w:val="18"/>
              </w:rPr>
              <w:t xml:space="preserve"> w komunikacie GDDKiA</w:t>
            </w:r>
            <w:r w:rsidRPr="003C0A9F">
              <w:rPr>
                <w:rFonts w:ascii="Arial" w:hAnsi="Arial" w:cs="Arial"/>
                <w:sz w:val="18"/>
                <w:szCs w:val="18"/>
              </w:rPr>
              <w:t>.</w:t>
            </w:r>
            <w:r w:rsidR="003C0A9F">
              <w:rPr>
                <w:rFonts w:ascii="Arial" w:hAnsi="Arial" w:cs="Arial"/>
                <w:sz w:val="18"/>
                <w:szCs w:val="18"/>
              </w:rPr>
              <w:t xml:space="preserve"> </w:t>
            </w:r>
          </w:p>
          <w:p w14:paraId="56CCAF52" w14:textId="3F36F653" w:rsidR="00CB209D" w:rsidRPr="003C0A9F" w:rsidRDefault="00CB209D" w:rsidP="003C0A9F">
            <w:pPr>
              <w:pStyle w:val="Akapitzlist"/>
              <w:spacing w:after="0" w:line="360" w:lineRule="auto"/>
              <w:jc w:val="both"/>
              <w:rPr>
                <w:rFonts w:ascii="Arial" w:hAnsi="Arial" w:cs="Arial"/>
                <w:b/>
                <w:bCs/>
                <w:sz w:val="18"/>
                <w:szCs w:val="18"/>
              </w:rPr>
            </w:pPr>
            <w:r w:rsidRPr="003C0A9F">
              <w:rPr>
                <w:rFonts w:ascii="Arial" w:hAnsi="Arial" w:cs="Arial"/>
                <w:b/>
                <w:bCs/>
                <w:sz w:val="18"/>
                <w:szCs w:val="18"/>
              </w:rPr>
              <w:t>Biorąc pod uwagę, że większa część środków na finasowanie tych inwestycji pochodzi z funduszy unijnych, należy liczyć się z tym, że powyższe założenia okażą się nieaktualne.</w:t>
            </w:r>
          </w:p>
          <w:p w14:paraId="7453D2A6" w14:textId="67FC4893" w:rsidR="004C4658" w:rsidRPr="00042024" w:rsidRDefault="004C4658" w:rsidP="00042024">
            <w:pPr>
              <w:spacing w:after="0" w:line="360" w:lineRule="auto"/>
              <w:jc w:val="both"/>
              <w:rPr>
                <w:rFonts w:ascii="Arial" w:hAnsi="Arial" w:cs="Arial"/>
                <w:sz w:val="18"/>
                <w:szCs w:val="18"/>
              </w:rPr>
            </w:pPr>
          </w:p>
        </w:tc>
      </w:tr>
    </w:tbl>
    <w:p w14:paraId="62858100" w14:textId="77777777" w:rsidR="00D74793" w:rsidRDefault="00D74793" w:rsidP="00D74793">
      <w:pPr>
        <w:spacing w:after="0" w:line="100" w:lineRule="atLeast"/>
        <w:jc w:val="both"/>
        <w:rPr>
          <w:rFonts w:ascii="Arial" w:hAnsi="Arial" w:cs="Arial"/>
          <w:sz w:val="18"/>
          <w:szCs w:val="18"/>
          <w:u w:val="single"/>
        </w:rPr>
      </w:pPr>
    </w:p>
    <w:p w14:paraId="36A83861" w14:textId="77777777" w:rsidR="00D74793" w:rsidRDefault="00D74793" w:rsidP="00D74793">
      <w:pPr>
        <w:spacing w:after="0" w:line="100" w:lineRule="atLeast"/>
        <w:jc w:val="both"/>
        <w:rPr>
          <w:rFonts w:ascii="Arial" w:hAnsi="Arial" w:cs="Arial"/>
          <w:sz w:val="18"/>
          <w:szCs w:val="18"/>
          <w:u w:val="single"/>
        </w:rPr>
      </w:pPr>
    </w:p>
    <w:p w14:paraId="6E87AF29" w14:textId="77777777" w:rsidR="00D74793" w:rsidRDefault="00D74793" w:rsidP="00D74793">
      <w:pPr>
        <w:spacing w:after="0" w:line="100" w:lineRule="atLeast"/>
        <w:jc w:val="both"/>
        <w:rPr>
          <w:rFonts w:ascii="Arial" w:hAnsi="Arial" w:cs="Arial"/>
          <w:sz w:val="18"/>
          <w:szCs w:val="18"/>
          <w:u w:val="single"/>
        </w:rPr>
      </w:pPr>
    </w:p>
    <w:p w14:paraId="58B43976" w14:textId="77777777" w:rsidR="00F25422" w:rsidRDefault="00F25422" w:rsidP="009B4DC6">
      <w:pPr>
        <w:spacing w:after="0" w:line="100" w:lineRule="atLeast"/>
        <w:rPr>
          <w:rFonts w:ascii="Calibri" w:eastAsia="Calibri" w:hAnsi="Calibri" w:cs="Times New Roman"/>
          <w:b/>
          <w:bCs/>
          <w:sz w:val="24"/>
        </w:rPr>
      </w:pPr>
    </w:p>
    <w:p w14:paraId="12151218" w14:textId="77777777" w:rsidR="00F25422" w:rsidRDefault="00F25422" w:rsidP="00342A87">
      <w:pPr>
        <w:spacing w:after="0" w:line="100" w:lineRule="atLeast"/>
        <w:jc w:val="both"/>
        <w:rPr>
          <w:rFonts w:ascii="Arial" w:eastAsia="Calibri" w:hAnsi="Arial" w:cs="Arial"/>
          <w:sz w:val="16"/>
          <w:szCs w:val="18"/>
          <w:u w:val="single"/>
        </w:rPr>
      </w:pPr>
    </w:p>
    <w:p w14:paraId="3A82D19B" w14:textId="0D3C3965" w:rsidR="00CD5E99" w:rsidRPr="00891560" w:rsidRDefault="00CD5E99" w:rsidP="00CD5E99">
      <w:pPr>
        <w:spacing w:after="0" w:line="330" w:lineRule="atLeast"/>
        <w:jc w:val="both"/>
        <w:textAlignment w:val="baseline"/>
        <w:rPr>
          <w:rFonts w:ascii="Times New Roman" w:eastAsia="Times New Roman" w:hAnsi="Times New Roman"/>
          <w:color w:val="000000"/>
          <w:bdr w:val="none" w:sz="0" w:space="0" w:color="auto" w:frame="1"/>
          <w:lang w:eastAsia="pl-PL"/>
        </w:rPr>
      </w:pPr>
      <w:r w:rsidRPr="00A41204">
        <w:rPr>
          <w:rFonts w:ascii="Arial" w:eastAsia="Times New Roman" w:hAnsi="Arial" w:cs="Arial"/>
          <w:i/>
          <w:iCs/>
          <w:color w:val="000000"/>
          <w:sz w:val="16"/>
          <w:szCs w:val="16"/>
          <w:bdr w:val="none" w:sz="0" w:space="0" w:color="auto" w:frame="1"/>
          <w:lang w:eastAsia="pl-PL"/>
        </w:rPr>
        <w:t xml:space="preserve">Opracowanie jest elementem Raportu Gospodarczego Gabinetu Cieni BCC dot. </w:t>
      </w:r>
      <w:r w:rsidR="00C84534" w:rsidRPr="00A41204">
        <w:rPr>
          <w:rFonts w:ascii="Arial" w:eastAsia="Times New Roman" w:hAnsi="Arial" w:cs="Arial"/>
          <w:i/>
          <w:iCs/>
          <w:color w:val="000000"/>
          <w:sz w:val="16"/>
          <w:szCs w:val="16"/>
          <w:bdr w:val="none" w:sz="0" w:space="0" w:color="auto" w:frame="1"/>
          <w:lang w:eastAsia="pl-PL"/>
        </w:rPr>
        <w:t>IV</w:t>
      </w:r>
      <w:r w:rsidRPr="00A41204">
        <w:rPr>
          <w:rFonts w:ascii="Arial" w:eastAsia="Times New Roman" w:hAnsi="Arial" w:cs="Arial"/>
          <w:i/>
          <w:iCs/>
          <w:color w:val="000000"/>
          <w:sz w:val="16"/>
          <w:szCs w:val="16"/>
          <w:bdr w:val="none" w:sz="0" w:space="0" w:color="auto" w:frame="1"/>
          <w:lang w:eastAsia="pl-PL"/>
        </w:rPr>
        <w:t xml:space="preserve"> kwartału. W najbliższych dniach będziemy prezentować poglądy poszczególnych ministrów związane z obecną sytuacją gospodarczą oraz rekomendacje dla rządu na najbliższe miesiące</w:t>
      </w:r>
      <w:r w:rsidRPr="00891560">
        <w:rPr>
          <w:rFonts w:ascii="Arial" w:eastAsia="Times New Roman" w:hAnsi="Arial" w:cs="Arial"/>
          <w:color w:val="000000"/>
          <w:sz w:val="18"/>
          <w:szCs w:val="18"/>
          <w:bdr w:val="none" w:sz="0" w:space="0" w:color="auto" w:frame="1"/>
          <w:lang w:eastAsia="pl-PL"/>
        </w:rPr>
        <w:t>. </w:t>
      </w:r>
    </w:p>
    <w:p w14:paraId="4D63DFB6" w14:textId="77777777" w:rsidR="00F25422" w:rsidRDefault="00F25422" w:rsidP="00342A87">
      <w:pPr>
        <w:spacing w:after="0" w:line="100" w:lineRule="atLeast"/>
        <w:jc w:val="both"/>
        <w:rPr>
          <w:rFonts w:ascii="Arial" w:eastAsia="Calibri" w:hAnsi="Arial" w:cs="Arial"/>
          <w:sz w:val="16"/>
          <w:szCs w:val="18"/>
          <w:u w:val="single"/>
        </w:rPr>
      </w:pPr>
    </w:p>
    <w:p w14:paraId="554C914B" w14:textId="77777777" w:rsidR="00B741D8" w:rsidRPr="00A5176C" w:rsidRDefault="00B741D8" w:rsidP="00B741D8">
      <w:pPr>
        <w:rPr>
          <w:rFonts w:ascii="Arial" w:hAnsi="Arial" w:cs="Arial"/>
          <w:sz w:val="24"/>
          <w:szCs w:val="24"/>
        </w:rPr>
      </w:pPr>
    </w:p>
    <w:p w14:paraId="04BC0B79" w14:textId="77777777" w:rsidR="00F25422" w:rsidRDefault="00F25422" w:rsidP="00342A87">
      <w:pPr>
        <w:spacing w:after="0" w:line="100" w:lineRule="atLeast"/>
        <w:jc w:val="both"/>
        <w:rPr>
          <w:rFonts w:ascii="Arial" w:eastAsia="Calibri" w:hAnsi="Arial" w:cs="Arial"/>
          <w:sz w:val="16"/>
          <w:szCs w:val="18"/>
          <w:u w:val="single"/>
        </w:rPr>
      </w:pPr>
    </w:p>
    <w:p w14:paraId="68D3BFFB" w14:textId="77777777" w:rsidR="00F25422" w:rsidRDefault="00F25422" w:rsidP="00342A87">
      <w:pPr>
        <w:spacing w:after="0" w:line="100" w:lineRule="atLeast"/>
        <w:jc w:val="both"/>
        <w:rPr>
          <w:rFonts w:ascii="Arial" w:eastAsia="Calibri" w:hAnsi="Arial" w:cs="Arial"/>
          <w:sz w:val="16"/>
          <w:szCs w:val="18"/>
          <w:u w:val="single"/>
        </w:rPr>
      </w:pPr>
    </w:p>
    <w:p w14:paraId="1E78EF9B" w14:textId="77777777" w:rsidR="00C26010" w:rsidRPr="00C26010" w:rsidRDefault="00C26010" w:rsidP="00C26010">
      <w:pPr>
        <w:spacing w:after="0" w:line="100" w:lineRule="atLeast"/>
        <w:jc w:val="both"/>
        <w:rPr>
          <w:rFonts w:ascii="Arial" w:hAnsi="Arial" w:cs="Arial"/>
          <w:sz w:val="18"/>
          <w:szCs w:val="18"/>
          <w:u w:val="single"/>
        </w:rPr>
      </w:pPr>
    </w:p>
    <w:p w14:paraId="208CC49C" w14:textId="77777777" w:rsidR="00C26010" w:rsidRPr="00C26010" w:rsidRDefault="00C26010" w:rsidP="00C26010">
      <w:pPr>
        <w:spacing w:after="0" w:line="100" w:lineRule="atLeast"/>
        <w:jc w:val="both"/>
        <w:rPr>
          <w:rFonts w:ascii="Arial" w:hAnsi="Arial" w:cs="Arial"/>
          <w:sz w:val="18"/>
          <w:szCs w:val="18"/>
          <w:u w:val="single"/>
        </w:rPr>
      </w:pPr>
      <w:r w:rsidRPr="00C26010">
        <w:rPr>
          <w:rFonts w:ascii="Arial" w:hAnsi="Arial" w:cs="Arial"/>
          <w:sz w:val="18"/>
          <w:szCs w:val="18"/>
          <w:u w:val="single"/>
        </w:rPr>
        <w:t>Kontakt:</w:t>
      </w:r>
    </w:p>
    <w:p w14:paraId="535F4A18" w14:textId="77777777" w:rsidR="00C26010" w:rsidRPr="00C84534" w:rsidRDefault="00C26010" w:rsidP="00C26010">
      <w:pPr>
        <w:spacing w:after="0" w:line="100" w:lineRule="atLeast"/>
        <w:jc w:val="both"/>
        <w:rPr>
          <w:rFonts w:ascii="Arial" w:hAnsi="Arial" w:cs="Arial"/>
          <w:b/>
          <w:bCs/>
          <w:sz w:val="16"/>
          <w:szCs w:val="16"/>
          <w:u w:val="single"/>
        </w:rPr>
      </w:pPr>
    </w:p>
    <w:p w14:paraId="727B49E7" w14:textId="77777777" w:rsidR="004C4658" w:rsidRPr="00C84534" w:rsidRDefault="004C4658" w:rsidP="004C4658">
      <w:pPr>
        <w:suppressAutoHyphens/>
        <w:spacing w:after="0" w:line="100" w:lineRule="atLeast"/>
        <w:rPr>
          <w:rFonts w:ascii="Arial" w:eastAsia="Arial Unicode MS" w:hAnsi="Arial" w:cs="Arial"/>
          <w:b/>
          <w:bCs/>
          <w:sz w:val="16"/>
          <w:szCs w:val="16"/>
          <w:lang w:eastAsia="ar-SA"/>
        </w:rPr>
      </w:pPr>
      <w:r w:rsidRPr="00C84534">
        <w:rPr>
          <w:rFonts w:ascii="Arial" w:eastAsia="Arial Unicode MS" w:hAnsi="Arial" w:cs="Arial"/>
          <w:b/>
          <w:bCs/>
          <w:sz w:val="16"/>
          <w:szCs w:val="16"/>
          <w:lang w:eastAsia="ar-SA"/>
        </w:rPr>
        <w:t>Mirosław Kasprzak</w:t>
      </w:r>
    </w:p>
    <w:p w14:paraId="69D12176" w14:textId="6BD7B57D" w:rsidR="004C4658" w:rsidRPr="00C84534" w:rsidRDefault="004C4658" w:rsidP="004C4658">
      <w:pPr>
        <w:suppressAutoHyphens/>
        <w:spacing w:after="0" w:line="100" w:lineRule="atLeast"/>
        <w:rPr>
          <w:rFonts w:ascii="Arial" w:eastAsia="Arial Unicode MS" w:hAnsi="Arial" w:cs="Arial"/>
          <w:sz w:val="16"/>
          <w:szCs w:val="16"/>
          <w:lang w:eastAsia="ar-SA"/>
        </w:rPr>
      </w:pPr>
      <w:r w:rsidRPr="00C84534">
        <w:rPr>
          <w:rFonts w:ascii="Arial" w:eastAsia="Arial Unicode MS" w:hAnsi="Arial" w:cs="Arial"/>
          <w:sz w:val="16"/>
          <w:szCs w:val="16"/>
          <w:lang w:eastAsia="ar-SA"/>
        </w:rPr>
        <w:t>Rzecznik BCC</w:t>
      </w:r>
    </w:p>
    <w:p w14:paraId="16FD8DCD" w14:textId="77777777" w:rsidR="004C4658" w:rsidRPr="00C84534" w:rsidRDefault="004C4658" w:rsidP="004C4658">
      <w:pPr>
        <w:suppressAutoHyphens/>
        <w:spacing w:after="0" w:line="100" w:lineRule="atLeast"/>
        <w:rPr>
          <w:rFonts w:ascii="Arial" w:eastAsia="Arial Unicode MS" w:hAnsi="Arial" w:cs="Arial"/>
          <w:sz w:val="16"/>
          <w:szCs w:val="16"/>
          <w:lang w:val="en-US" w:eastAsia="ar-SA"/>
        </w:rPr>
      </w:pPr>
      <w:r w:rsidRPr="00C84534">
        <w:rPr>
          <w:rFonts w:ascii="Arial" w:eastAsia="Arial Unicode MS" w:hAnsi="Arial" w:cs="Arial"/>
          <w:sz w:val="16"/>
          <w:szCs w:val="16"/>
          <w:lang w:val="en-US" w:eastAsia="ar-SA"/>
        </w:rPr>
        <w:t>tel. 608 529 504</w:t>
      </w:r>
    </w:p>
    <w:p w14:paraId="1835B476" w14:textId="320DEB56" w:rsidR="004C4658" w:rsidRPr="00C84534" w:rsidRDefault="004C4658" w:rsidP="004C4658">
      <w:pPr>
        <w:suppressAutoHyphens/>
        <w:spacing w:after="0" w:line="100" w:lineRule="atLeast"/>
        <w:rPr>
          <w:rFonts w:ascii="Arial" w:eastAsia="Arial Unicode MS" w:hAnsi="Arial" w:cs="Arial"/>
          <w:color w:val="146CB4"/>
          <w:sz w:val="16"/>
          <w:szCs w:val="16"/>
          <w:lang w:val="en-US" w:eastAsia="ar-SA"/>
        </w:rPr>
      </w:pPr>
      <w:r w:rsidRPr="00C84534">
        <w:rPr>
          <w:rFonts w:ascii="Arial" w:eastAsia="Arial Unicode MS" w:hAnsi="Arial" w:cs="Arial"/>
          <w:sz w:val="16"/>
          <w:szCs w:val="16"/>
          <w:lang w:val="en-US" w:eastAsia="ar-SA"/>
        </w:rPr>
        <w:t>e-mail: miroslaw.kasprzak@bcc.pl</w:t>
      </w:r>
    </w:p>
    <w:p w14:paraId="7E9C57D7" w14:textId="77777777" w:rsidR="009D4781" w:rsidRPr="009D4781" w:rsidRDefault="00342A87" w:rsidP="00342A87">
      <w:pPr>
        <w:pBdr>
          <w:top w:val="single" w:sz="2" w:space="6" w:color="C00000"/>
        </w:pBdr>
        <w:spacing w:after="0" w:line="240" w:lineRule="auto"/>
        <w:jc w:val="both"/>
        <w:rPr>
          <w:rFonts w:ascii="Calibri" w:eastAsia="Calibri" w:hAnsi="Calibri" w:cs="Calibri"/>
          <w:i/>
          <w:color w:val="0000FF"/>
          <w:sz w:val="14"/>
          <w:szCs w:val="16"/>
          <w:u w:val="single"/>
        </w:rPr>
      </w:pPr>
      <w:r w:rsidRPr="00342A87">
        <w:rPr>
          <w:rFonts w:ascii="Calibri" w:eastAsia="Calibri" w:hAnsi="Calibri" w:cs="Calibri"/>
          <w:b/>
          <w:i/>
          <w:color w:val="808080"/>
          <w:sz w:val="14"/>
          <w:szCs w:val="16"/>
        </w:rPr>
        <w:t>Gospodarczy Gabinet Cieni Business Centre Club</w:t>
      </w:r>
      <w:r w:rsidRPr="00342A87">
        <w:rPr>
          <w:rFonts w:ascii="Calibri" w:eastAsia="Calibri" w:hAnsi="Calibri" w:cs="Calibri"/>
          <w:i/>
          <w:color w:val="808080"/>
          <w:sz w:val="14"/>
          <w:szCs w:val="16"/>
        </w:rPr>
        <w:t xml:space="preserve"> to </w:t>
      </w:r>
      <w:proofErr w:type="spellStart"/>
      <w:r w:rsidRPr="00342A87">
        <w:rPr>
          <w:rFonts w:ascii="Calibri" w:eastAsia="Calibri" w:hAnsi="Calibri" w:cs="Calibri"/>
          <w:i/>
          <w:color w:val="808080"/>
          <w:sz w:val="14"/>
          <w:szCs w:val="16"/>
        </w:rPr>
        <w:t>think</w:t>
      </w:r>
      <w:proofErr w:type="spellEnd"/>
      <w:r w:rsidRPr="00342A87">
        <w:rPr>
          <w:rFonts w:ascii="Calibri" w:eastAsia="Calibri" w:hAnsi="Calibri" w:cs="Calibri"/>
          <w:i/>
          <w:color w:val="808080"/>
          <w:sz w:val="14"/>
          <w:szCs w:val="16"/>
        </w:rPr>
        <w:t xml:space="preserve"> tank powołany w kwietniu 2012 r., aby wspierać działania prorozwojowe władz publicznych, monitorować prace resortów kluczowych dla przedsiębiorczości, rekomendować zmiany sprzyjające rozwojowi kraju, wzrostowi gospodarczemu i konkurencyjności polskich firm. W skład GGC BCC wchodzą wybitni gospodarczy fachowcy, z których wielu piastowało w</w:t>
      </w:r>
      <w:r w:rsidR="009D4781">
        <w:rPr>
          <w:rFonts w:ascii="Calibri" w:eastAsia="Calibri" w:hAnsi="Calibri" w:cs="Calibri"/>
          <w:i/>
          <w:color w:val="808080"/>
          <w:sz w:val="14"/>
          <w:szCs w:val="16"/>
        </w:rPr>
        <w:t xml:space="preserve"> przeszłości funkcje publiczne. </w:t>
      </w:r>
      <w:r w:rsidR="009D4781">
        <w:rPr>
          <w:rFonts w:ascii="Calibri" w:eastAsia="Calibri" w:hAnsi="Calibri" w:cs="Calibri"/>
          <w:i/>
          <w:color w:val="808080"/>
          <w:sz w:val="14"/>
          <w:szCs w:val="16"/>
        </w:rPr>
        <w:br/>
      </w:r>
      <w:r w:rsidRPr="00342A87">
        <w:rPr>
          <w:rFonts w:ascii="Calibri" w:eastAsia="Calibri" w:hAnsi="Calibri" w:cs="Calibri"/>
          <w:i/>
          <w:color w:val="808080"/>
          <w:sz w:val="14"/>
          <w:szCs w:val="16"/>
        </w:rPr>
        <w:t xml:space="preserve">Więcej informacji: </w:t>
      </w:r>
      <w:hyperlink r:id="rId10" w:history="1">
        <w:r w:rsidRPr="00342A87">
          <w:rPr>
            <w:rFonts w:ascii="Calibri" w:eastAsia="Calibri" w:hAnsi="Calibri" w:cs="Calibri"/>
            <w:i/>
            <w:color w:val="0000FF"/>
            <w:sz w:val="14"/>
            <w:szCs w:val="16"/>
            <w:u w:val="single"/>
          </w:rPr>
          <w:t>http://www.bcc.org.pl/Gospodarczy-Gabinet-Cieni.4241.0.html</w:t>
        </w:r>
      </w:hyperlink>
    </w:p>
    <w:sectPr w:rsidR="009D4781" w:rsidRPr="009D4781" w:rsidSect="00F25422">
      <w:footerReference w:type="default" r:id="rId11"/>
      <w:pgSz w:w="11906" w:h="16838"/>
      <w:pgMar w:top="1135" w:right="1417" w:bottom="1276"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7FC43" w14:textId="77777777" w:rsidR="00C023E5" w:rsidRDefault="00C023E5">
      <w:pPr>
        <w:spacing w:after="0" w:line="240" w:lineRule="auto"/>
      </w:pPr>
      <w:r>
        <w:separator/>
      </w:r>
    </w:p>
  </w:endnote>
  <w:endnote w:type="continuationSeparator" w:id="0">
    <w:p w14:paraId="00A91161" w14:textId="77777777" w:rsidR="00C023E5" w:rsidRDefault="00C02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0"/>
    <w:family w:val="decorative"/>
    <w:pitch w:val="variable"/>
    <w:sig w:usb0="00000003" w:usb1="0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4839" w14:textId="04B6F683" w:rsidR="00B453A4" w:rsidRPr="009B7B9C" w:rsidRDefault="000F6A44" w:rsidP="0079671E">
    <w:pPr>
      <w:pStyle w:val="Stopka"/>
      <w:rPr>
        <w:sz w:val="18"/>
      </w:rPr>
    </w:pPr>
    <w:r>
      <w:rPr>
        <w:sz w:val="16"/>
        <w:szCs w:val="18"/>
      </w:rPr>
      <w:t>Gosp</w:t>
    </w:r>
    <w:r w:rsidR="009B4DC6">
      <w:rPr>
        <w:sz w:val="16"/>
        <w:szCs w:val="18"/>
      </w:rPr>
      <w:t>odarczy Gabinet Cieni BCC – XXX</w:t>
    </w:r>
    <w:r w:rsidR="00AC09CC">
      <w:rPr>
        <w:sz w:val="16"/>
        <w:szCs w:val="18"/>
      </w:rPr>
      <w:t>V</w:t>
    </w:r>
    <w:r w:rsidR="009B4DC6">
      <w:rPr>
        <w:sz w:val="16"/>
        <w:szCs w:val="18"/>
      </w:rPr>
      <w:t>I</w:t>
    </w:r>
    <w:r w:rsidR="00CB209D">
      <w:rPr>
        <w:sz w:val="16"/>
        <w:szCs w:val="18"/>
      </w:rPr>
      <w:t>I</w:t>
    </w:r>
    <w:r w:rsidR="006F3517">
      <w:rPr>
        <w:sz w:val="16"/>
        <w:szCs w:val="18"/>
      </w:rPr>
      <w:t>I</w:t>
    </w:r>
    <w:r>
      <w:rPr>
        <w:sz w:val="16"/>
        <w:szCs w:val="18"/>
      </w:rPr>
      <w:t xml:space="preserve"> Raport kwartalny – </w:t>
    </w:r>
    <w:r w:rsidR="00CB209D">
      <w:rPr>
        <w:sz w:val="16"/>
        <w:szCs w:val="18"/>
      </w:rPr>
      <w:t>14</w:t>
    </w:r>
    <w:r w:rsidRPr="009B7B9C">
      <w:rPr>
        <w:sz w:val="16"/>
        <w:szCs w:val="18"/>
      </w:rPr>
      <w:t>.</w:t>
    </w:r>
    <w:r w:rsidR="00CB209D">
      <w:rPr>
        <w:sz w:val="16"/>
        <w:szCs w:val="18"/>
      </w:rPr>
      <w:t>10</w:t>
    </w:r>
    <w:r w:rsidRPr="009B7B9C">
      <w:rPr>
        <w:sz w:val="16"/>
        <w:szCs w:val="18"/>
      </w:rPr>
      <w:t>.20</w:t>
    </w:r>
    <w:r w:rsidR="009B4DC6">
      <w:rPr>
        <w:sz w:val="16"/>
        <w:szCs w:val="18"/>
      </w:rPr>
      <w:t>21</w:t>
    </w:r>
    <w:r w:rsidRPr="009B7B9C">
      <w:rPr>
        <w:sz w:val="16"/>
        <w:szCs w:val="18"/>
      </w:rPr>
      <w:t xml:space="preserve"> r.</w:t>
    </w:r>
    <w:r>
      <w:rPr>
        <w:sz w:val="16"/>
        <w:szCs w:val="18"/>
      </w:rPr>
      <w:tab/>
    </w:r>
    <w:r w:rsidRPr="009B7B9C">
      <w:rPr>
        <w:sz w:val="18"/>
      </w:rPr>
      <w:t xml:space="preserve"> </w:t>
    </w:r>
    <w:r>
      <w:rPr>
        <w:sz w:val="18"/>
      </w:rPr>
      <w:tab/>
    </w:r>
    <w:r w:rsidRPr="009B7B9C">
      <w:rPr>
        <w:sz w:val="18"/>
      </w:rPr>
      <w:fldChar w:fldCharType="begin"/>
    </w:r>
    <w:r w:rsidRPr="009B7B9C">
      <w:rPr>
        <w:sz w:val="18"/>
      </w:rPr>
      <w:instrText xml:space="preserve"> PAGE   \* MERGEFORMAT </w:instrText>
    </w:r>
    <w:r w:rsidRPr="009B7B9C">
      <w:rPr>
        <w:sz w:val="18"/>
      </w:rPr>
      <w:fldChar w:fldCharType="separate"/>
    </w:r>
    <w:r w:rsidR="006F3517">
      <w:rPr>
        <w:noProof/>
        <w:sz w:val="18"/>
      </w:rPr>
      <w:t>2</w:t>
    </w:r>
    <w:r w:rsidRPr="009B7B9C">
      <w:rPr>
        <w:sz w:val="18"/>
      </w:rPr>
      <w:fldChar w:fldCharType="end"/>
    </w:r>
  </w:p>
  <w:p w14:paraId="0CB39ED5" w14:textId="77777777" w:rsidR="00B453A4" w:rsidRDefault="00C023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FEEB" w14:textId="77777777" w:rsidR="00C023E5" w:rsidRDefault="00C023E5">
      <w:pPr>
        <w:spacing w:after="0" w:line="240" w:lineRule="auto"/>
      </w:pPr>
      <w:r>
        <w:separator/>
      </w:r>
    </w:p>
  </w:footnote>
  <w:footnote w:type="continuationSeparator" w:id="0">
    <w:p w14:paraId="4F09A989" w14:textId="77777777" w:rsidR="00C023E5" w:rsidRDefault="00C02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181"/>
    <w:multiLevelType w:val="hybridMultilevel"/>
    <w:tmpl w:val="75D0441E"/>
    <w:lvl w:ilvl="0" w:tplc="9C6076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A0F15"/>
    <w:multiLevelType w:val="hybridMultilevel"/>
    <w:tmpl w:val="DCBCADD0"/>
    <w:lvl w:ilvl="0" w:tplc="014E6C7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E2E58"/>
    <w:multiLevelType w:val="hybridMultilevel"/>
    <w:tmpl w:val="5F6AD19E"/>
    <w:lvl w:ilvl="0" w:tplc="5DC6D3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F001C"/>
    <w:multiLevelType w:val="hybridMultilevel"/>
    <w:tmpl w:val="CA7CAE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7A094E"/>
    <w:multiLevelType w:val="hybridMultilevel"/>
    <w:tmpl w:val="238284AE"/>
    <w:lvl w:ilvl="0" w:tplc="6E9A65C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727977"/>
    <w:multiLevelType w:val="hybridMultilevel"/>
    <w:tmpl w:val="C31A728A"/>
    <w:lvl w:ilvl="0" w:tplc="17A45524">
      <w:start w:val="2"/>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2D596213"/>
    <w:multiLevelType w:val="hybridMultilevel"/>
    <w:tmpl w:val="2176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81736F"/>
    <w:multiLevelType w:val="hybridMultilevel"/>
    <w:tmpl w:val="676615C2"/>
    <w:lvl w:ilvl="0" w:tplc="34949F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4A0190"/>
    <w:multiLevelType w:val="hybridMultilevel"/>
    <w:tmpl w:val="4EBA8BCE"/>
    <w:lvl w:ilvl="0" w:tplc="F41220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906AC5"/>
    <w:multiLevelType w:val="hybridMultilevel"/>
    <w:tmpl w:val="7A8CEEAA"/>
    <w:lvl w:ilvl="0" w:tplc="A2063946">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C42519"/>
    <w:multiLevelType w:val="hybridMultilevel"/>
    <w:tmpl w:val="9B5485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D077E0D"/>
    <w:multiLevelType w:val="hybridMultilevel"/>
    <w:tmpl w:val="13EED0C0"/>
    <w:lvl w:ilvl="0" w:tplc="144AAF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6123CC"/>
    <w:multiLevelType w:val="hybridMultilevel"/>
    <w:tmpl w:val="8AE8872A"/>
    <w:lvl w:ilvl="0" w:tplc="D396B6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6863C2"/>
    <w:multiLevelType w:val="hybridMultilevel"/>
    <w:tmpl w:val="C8C26A72"/>
    <w:lvl w:ilvl="0" w:tplc="0A18B9A2">
      <w:start w:val="1"/>
      <w:numFmt w:val="decimal"/>
      <w:lvlText w:val="%1."/>
      <w:lvlJc w:val="left"/>
      <w:pPr>
        <w:ind w:left="720" w:hanging="360"/>
      </w:pPr>
      <w:rPr>
        <w:rFonts w:ascii="Arial" w:hAnsi="Arial" w:cs="Arial"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B17A0B"/>
    <w:multiLevelType w:val="hybridMultilevel"/>
    <w:tmpl w:val="940CF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574506"/>
    <w:multiLevelType w:val="hybridMultilevel"/>
    <w:tmpl w:val="2FE254F6"/>
    <w:lvl w:ilvl="0" w:tplc="EDA8F0B0">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3FA5958"/>
    <w:multiLevelType w:val="hybridMultilevel"/>
    <w:tmpl w:val="A41097E0"/>
    <w:lvl w:ilvl="0" w:tplc="014E6C7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574B57"/>
    <w:multiLevelType w:val="hybridMultilevel"/>
    <w:tmpl w:val="EC3C3AAE"/>
    <w:lvl w:ilvl="0" w:tplc="8B524FE6">
      <w:start w:val="1"/>
      <w:numFmt w:val="decimal"/>
      <w:lvlText w:val="%1."/>
      <w:lvlJc w:val="left"/>
      <w:pPr>
        <w:ind w:left="720" w:hanging="360"/>
      </w:pPr>
      <w:rPr>
        <w:rFonts w:ascii="Arial" w:hAnsi="Arial" w:cs="Arial"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0013AC"/>
    <w:multiLevelType w:val="hybridMultilevel"/>
    <w:tmpl w:val="6DF4B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B1226B"/>
    <w:multiLevelType w:val="hybridMultilevel"/>
    <w:tmpl w:val="2E10864A"/>
    <w:lvl w:ilvl="0" w:tplc="4474A38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CD1044"/>
    <w:multiLevelType w:val="hybridMultilevel"/>
    <w:tmpl w:val="CE866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D9279E"/>
    <w:multiLevelType w:val="hybridMultilevel"/>
    <w:tmpl w:val="6BBA5B82"/>
    <w:lvl w:ilvl="0" w:tplc="FC423506">
      <w:start w:val="1"/>
      <w:numFmt w:val="decimal"/>
      <w:lvlText w:val="%1."/>
      <w:lvlJc w:val="left"/>
      <w:pPr>
        <w:ind w:left="502" w:hanging="360"/>
      </w:pPr>
      <w:rPr>
        <w:rFonts w:ascii="Arial" w:hAnsi="Arial" w:cs="Arial" w:hint="default"/>
        <w:b/>
        <w:sz w:val="18"/>
        <w:szCs w:val="18"/>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7832781B"/>
    <w:multiLevelType w:val="hybridMultilevel"/>
    <w:tmpl w:val="8BDAB5BE"/>
    <w:lvl w:ilvl="0" w:tplc="A93842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274BDF"/>
    <w:multiLevelType w:val="hybridMultilevel"/>
    <w:tmpl w:val="D328463A"/>
    <w:lvl w:ilvl="0" w:tplc="858CDBA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FC45A80"/>
    <w:multiLevelType w:val="hybridMultilevel"/>
    <w:tmpl w:val="328EE6F4"/>
    <w:lvl w:ilvl="0" w:tplc="DCF061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0"/>
  </w:num>
  <w:num w:numId="3">
    <w:abstractNumId w:val="15"/>
  </w:num>
  <w:num w:numId="4">
    <w:abstractNumId w:val="22"/>
  </w:num>
  <w:num w:numId="5">
    <w:abstractNumId w:val="8"/>
  </w:num>
  <w:num w:numId="6">
    <w:abstractNumId w:val="21"/>
  </w:num>
  <w:num w:numId="7">
    <w:abstractNumId w:val="11"/>
  </w:num>
  <w:num w:numId="8">
    <w:abstractNumId w:val="9"/>
  </w:num>
  <w:num w:numId="9">
    <w:abstractNumId w:val="20"/>
  </w:num>
  <w:num w:numId="10">
    <w:abstractNumId w:val="12"/>
  </w:num>
  <w:num w:numId="11">
    <w:abstractNumId w:val="13"/>
  </w:num>
  <w:num w:numId="12">
    <w:abstractNumId w:val="19"/>
  </w:num>
  <w:num w:numId="13">
    <w:abstractNumId w:val="3"/>
  </w:num>
  <w:num w:numId="14">
    <w:abstractNumId w:val="24"/>
  </w:num>
  <w:num w:numId="15">
    <w:abstractNumId w:val="18"/>
  </w:num>
  <w:num w:numId="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1"/>
  </w:num>
  <w:num w:numId="20">
    <w:abstractNumId w:val="10"/>
  </w:num>
  <w:num w:numId="21">
    <w:abstractNumId w:val="4"/>
  </w:num>
  <w:num w:numId="22">
    <w:abstractNumId w:val="17"/>
  </w:num>
  <w:num w:numId="23">
    <w:abstractNumId w:val="14"/>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87"/>
    <w:rsid w:val="00042024"/>
    <w:rsid w:val="000F15D5"/>
    <w:rsid w:val="000F6A44"/>
    <w:rsid w:val="00101039"/>
    <w:rsid w:val="00106344"/>
    <w:rsid w:val="0013564F"/>
    <w:rsid w:val="00160CA7"/>
    <w:rsid w:val="001868F5"/>
    <w:rsid w:val="001B2FF7"/>
    <w:rsid w:val="001F29E1"/>
    <w:rsid w:val="002107EF"/>
    <w:rsid w:val="0027385E"/>
    <w:rsid w:val="00293627"/>
    <w:rsid w:val="002F7256"/>
    <w:rsid w:val="00342A87"/>
    <w:rsid w:val="00361509"/>
    <w:rsid w:val="00367D72"/>
    <w:rsid w:val="003C0A9F"/>
    <w:rsid w:val="004254FC"/>
    <w:rsid w:val="004C4658"/>
    <w:rsid w:val="00511E03"/>
    <w:rsid w:val="005A7CB1"/>
    <w:rsid w:val="005D1497"/>
    <w:rsid w:val="005F106E"/>
    <w:rsid w:val="006733A5"/>
    <w:rsid w:val="00694308"/>
    <w:rsid w:val="006A4707"/>
    <w:rsid w:val="006B44E0"/>
    <w:rsid w:val="006F3517"/>
    <w:rsid w:val="00752878"/>
    <w:rsid w:val="00763860"/>
    <w:rsid w:val="00772113"/>
    <w:rsid w:val="007A7DD9"/>
    <w:rsid w:val="007F1637"/>
    <w:rsid w:val="00802774"/>
    <w:rsid w:val="00844F1E"/>
    <w:rsid w:val="008670C0"/>
    <w:rsid w:val="008B7503"/>
    <w:rsid w:val="008D6BF2"/>
    <w:rsid w:val="008F04E5"/>
    <w:rsid w:val="008F3799"/>
    <w:rsid w:val="00970162"/>
    <w:rsid w:val="00970CCF"/>
    <w:rsid w:val="00980411"/>
    <w:rsid w:val="009B4DC6"/>
    <w:rsid w:val="009D4781"/>
    <w:rsid w:val="00A41204"/>
    <w:rsid w:val="00AA6E02"/>
    <w:rsid w:val="00AC09CC"/>
    <w:rsid w:val="00B267A1"/>
    <w:rsid w:val="00B32CC8"/>
    <w:rsid w:val="00B56A2D"/>
    <w:rsid w:val="00B61202"/>
    <w:rsid w:val="00B741D8"/>
    <w:rsid w:val="00B938BC"/>
    <w:rsid w:val="00BD29E4"/>
    <w:rsid w:val="00BD53A4"/>
    <w:rsid w:val="00C023E5"/>
    <w:rsid w:val="00C26010"/>
    <w:rsid w:val="00C32E6E"/>
    <w:rsid w:val="00C836D8"/>
    <w:rsid w:val="00C84534"/>
    <w:rsid w:val="00CA19C1"/>
    <w:rsid w:val="00CB209D"/>
    <w:rsid w:val="00CC3A91"/>
    <w:rsid w:val="00CD5E99"/>
    <w:rsid w:val="00CF32D4"/>
    <w:rsid w:val="00D000AB"/>
    <w:rsid w:val="00D54C8D"/>
    <w:rsid w:val="00D74793"/>
    <w:rsid w:val="00D81796"/>
    <w:rsid w:val="00E35E54"/>
    <w:rsid w:val="00E42D57"/>
    <w:rsid w:val="00E65C24"/>
    <w:rsid w:val="00E8631F"/>
    <w:rsid w:val="00E872D8"/>
    <w:rsid w:val="00EB0777"/>
    <w:rsid w:val="00EF6B05"/>
    <w:rsid w:val="00F25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F73C"/>
  <w15:docId w15:val="{539FB577-9DD6-864E-AF41-1C9A8022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32D4"/>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42A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2A87"/>
  </w:style>
  <w:style w:type="paragraph" w:styleId="Tekstdymka">
    <w:name w:val="Balloon Text"/>
    <w:basedOn w:val="Normalny"/>
    <w:link w:val="TekstdymkaZnak"/>
    <w:uiPriority w:val="99"/>
    <w:semiHidden/>
    <w:unhideWhenUsed/>
    <w:rsid w:val="00342A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2A87"/>
    <w:rPr>
      <w:rFonts w:ascii="Tahoma" w:hAnsi="Tahoma" w:cs="Tahoma"/>
      <w:sz w:val="16"/>
      <w:szCs w:val="16"/>
    </w:rPr>
  </w:style>
  <w:style w:type="paragraph" w:customStyle="1" w:styleId="Titreobjet">
    <w:name w:val="Titre objet"/>
    <w:basedOn w:val="Normalny"/>
    <w:next w:val="Normalny"/>
    <w:rsid w:val="00342A87"/>
    <w:pPr>
      <w:spacing w:before="360" w:after="360" w:line="240" w:lineRule="auto"/>
      <w:jc w:val="center"/>
    </w:pPr>
    <w:rPr>
      <w:rFonts w:ascii="Times New Roman" w:hAnsi="Times New Roman" w:cs="Times New Roman"/>
      <w:b/>
      <w:sz w:val="24"/>
    </w:rPr>
  </w:style>
  <w:style w:type="paragraph" w:customStyle="1" w:styleId="ManualConsidrant">
    <w:name w:val="Manual Considérant"/>
    <w:basedOn w:val="Normalny"/>
    <w:rsid w:val="00342A87"/>
    <w:pPr>
      <w:spacing w:before="120" w:after="120" w:line="240" w:lineRule="auto"/>
      <w:ind w:left="709" w:hanging="709"/>
      <w:jc w:val="both"/>
    </w:pPr>
    <w:rPr>
      <w:rFonts w:ascii="Times New Roman" w:hAnsi="Times New Roman" w:cs="Times New Roman"/>
      <w:sz w:val="24"/>
    </w:rPr>
  </w:style>
  <w:style w:type="paragraph" w:customStyle="1" w:styleId="Formuledadoption">
    <w:name w:val="Formule d'adoption"/>
    <w:basedOn w:val="Normalny"/>
    <w:next w:val="Normalny"/>
    <w:rsid w:val="00342A87"/>
    <w:pPr>
      <w:keepNext/>
      <w:spacing w:before="120" w:after="120" w:line="240" w:lineRule="auto"/>
      <w:jc w:val="both"/>
    </w:pPr>
    <w:rPr>
      <w:rFonts w:ascii="Times New Roman" w:hAnsi="Times New Roman" w:cs="Times New Roman"/>
      <w:sz w:val="24"/>
    </w:rPr>
  </w:style>
  <w:style w:type="paragraph" w:customStyle="1" w:styleId="ManualNumPar1">
    <w:name w:val="Manual NumPar 1"/>
    <w:basedOn w:val="Normalny"/>
    <w:next w:val="Normalny"/>
    <w:rsid w:val="00342A87"/>
    <w:pPr>
      <w:spacing w:before="120" w:after="120" w:line="240" w:lineRule="auto"/>
      <w:ind w:left="850" w:hanging="850"/>
      <w:jc w:val="both"/>
    </w:pPr>
    <w:rPr>
      <w:rFonts w:ascii="Times New Roman" w:hAnsi="Times New Roman" w:cs="Times New Roman"/>
      <w:sz w:val="24"/>
    </w:rPr>
  </w:style>
  <w:style w:type="paragraph" w:styleId="Akapitzlist">
    <w:name w:val="List Paragraph"/>
    <w:basedOn w:val="Normalny"/>
    <w:link w:val="AkapitzlistZnak"/>
    <w:uiPriority w:val="34"/>
    <w:qFormat/>
    <w:rsid w:val="00342A87"/>
    <w:pPr>
      <w:ind w:left="720"/>
      <w:contextualSpacing/>
    </w:pPr>
  </w:style>
  <w:style w:type="character" w:styleId="Hipercze">
    <w:name w:val="Hyperlink"/>
    <w:unhideWhenUsed/>
    <w:rsid w:val="008670C0"/>
    <w:rPr>
      <w:color w:val="0000FF"/>
      <w:u w:val="single"/>
    </w:rPr>
  </w:style>
  <w:style w:type="paragraph" w:styleId="Nagwek">
    <w:name w:val="header"/>
    <w:basedOn w:val="Normalny"/>
    <w:link w:val="NagwekZnak"/>
    <w:uiPriority w:val="99"/>
    <w:unhideWhenUsed/>
    <w:rsid w:val="00AC09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09CC"/>
  </w:style>
  <w:style w:type="character" w:customStyle="1" w:styleId="AkapitzlistZnak">
    <w:name w:val="Akapit z listą Znak"/>
    <w:link w:val="Akapitzlist"/>
    <w:uiPriority w:val="34"/>
    <w:rsid w:val="00D74793"/>
  </w:style>
  <w:style w:type="character" w:customStyle="1" w:styleId="apple-converted-space">
    <w:name w:val="apple-converted-space"/>
    <w:basedOn w:val="Domylnaczcionkaakapitu"/>
    <w:rsid w:val="00042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9478">
      <w:bodyDiv w:val="1"/>
      <w:marLeft w:val="0"/>
      <w:marRight w:val="0"/>
      <w:marTop w:val="0"/>
      <w:marBottom w:val="0"/>
      <w:divBdr>
        <w:top w:val="none" w:sz="0" w:space="0" w:color="auto"/>
        <w:left w:val="none" w:sz="0" w:space="0" w:color="auto"/>
        <w:bottom w:val="none" w:sz="0" w:space="0" w:color="auto"/>
        <w:right w:val="none" w:sz="0" w:space="0" w:color="auto"/>
      </w:divBdr>
    </w:div>
    <w:div w:id="270433276">
      <w:bodyDiv w:val="1"/>
      <w:marLeft w:val="0"/>
      <w:marRight w:val="0"/>
      <w:marTop w:val="0"/>
      <w:marBottom w:val="0"/>
      <w:divBdr>
        <w:top w:val="none" w:sz="0" w:space="0" w:color="auto"/>
        <w:left w:val="none" w:sz="0" w:space="0" w:color="auto"/>
        <w:bottom w:val="none" w:sz="0" w:space="0" w:color="auto"/>
        <w:right w:val="none" w:sz="0" w:space="0" w:color="auto"/>
      </w:divBdr>
    </w:div>
    <w:div w:id="748159179">
      <w:bodyDiv w:val="1"/>
      <w:marLeft w:val="0"/>
      <w:marRight w:val="0"/>
      <w:marTop w:val="0"/>
      <w:marBottom w:val="0"/>
      <w:divBdr>
        <w:top w:val="none" w:sz="0" w:space="0" w:color="auto"/>
        <w:left w:val="none" w:sz="0" w:space="0" w:color="auto"/>
        <w:bottom w:val="none" w:sz="0" w:space="0" w:color="auto"/>
        <w:right w:val="none" w:sz="0" w:space="0" w:color="auto"/>
      </w:divBdr>
    </w:div>
    <w:div w:id="914124513">
      <w:bodyDiv w:val="1"/>
      <w:marLeft w:val="0"/>
      <w:marRight w:val="0"/>
      <w:marTop w:val="0"/>
      <w:marBottom w:val="0"/>
      <w:divBdr>
        <w:top w:val="none" w:sz="0" w:space="0" w:color="auto"/>
        <w:left w:val="none" w:sz="0" w:space="0" w:color="auto"/>
        <w:bottom w:val="none" w:sz="0" w:space="0" w:color="auto"/>
        <w:right w:val="none" w:sz="0" w:space="0" w:color="auto"/>
      </w:divBdr>
    </w:div>
    <w:div w:id="1331370247">
      <w:bodyDiv w:val="1"/>
      <w:marLeft w:val="0"/>
      <w:marRight w:val="0"/>
      <w:marTop w:val="0"/>
      <w:marBottom w:val="0"/>
      <w:divBdr>
        <w:top w:val="none" w:sz="0" w:space="0" w:color="auto"/>
        <w:left w:val="none" w:sz="0" w:space="0" w:color="auto"/>
        <w:bottom w:val="none" w:sz="0" w:space="0" w:color="auto"/>
        <w:right w:val="none" w:sz="0" w:space="0" w:color="auto"/>
      </w:divBdr>
    </w:div>
    <w:div w:id="185259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cc.org.pl/Gospodarczy-Gabinet-Cieni.4241.0.html" TargetMode="External"/><Relationship Id="rId4" Type="http://schemas.openxmlformats.org/officeDocument/2006/relationships/webSettings" Target="webSettings.xml"/><Relationship Id="rId9" Type="http://schemas.openxmlformats.org/officeDocument/2006/relationships/hyperlink" Target="tel:502%20066%2061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747</Words>
  <Characters>4488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Muciński</dc:creator>
  <cp:lastModifiedBy>Mirosław Kasprzak</cp:lastModifiedBy>
  <cp:revision>3</cp:revision>
  <cp:lastPrinted>2021-07-07T08:39:00Z</cp:lastPrinted>
  <dcterms:created xsi:type="dcterms:W3CDTF">2021-10-19T10:07:00Z</dcterms:created>
  <dcterms:modified xsi:type="dcterms:W3CDTF">2021-10-19T10:16:00Z</dcterms:modified>
</cp:coreProperties>
</file>