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6FB2" w14:textId="77777777"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  <w:r w:rsidRPr="00342A87">
        <w:rPr>
          <w:rFonts w:ascii="Calibri" w:eastAsia="Calibri" w:hAnsi="Calibri" w:cs="Times New Roman"/>
          <w:noProof/>
          <w:sz w:val="2"/>
          <w:szCs w:val="2"/>
          <w:lang w:eastAsia="pl-PL"/>
        </w:rPr>
        <w:drawing>
          <wp:inline distT="0" distB="0" distL="0" distR="0" wp14:anchorId="0135743E" wp14:editId="7AB9243E">
            <wp:extent cx="2238375" cy="1857375"/>
            <wp:effectExtent l="0" t="0" r="9525" b="0"/>
            <wp:docPr id="1" name="Obraz 1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4BDA1" w14:textId="77777777"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0"/>
        </w:rPr>
      </w:pPr>
    </w:p>
    <w:p w14:paraId="79DBABA4" w14:textId="26DA99E9" w:rsidR="00342A87" w:rsidRPr="00342A87" w:rsidRDefault="00342A87" w:rsidP="00342A8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Times New Roman"/>
          <w:sz w:val="18"/>
          <w:szCs w:val="20"/>
          <w:lang w:val="x-none" w:eastAsia="x-none"/>
        </w:rPr>
      </w:pP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Warszawa, </w:t>
      </w:r>
      <w:r w:rsidR="00BE1A5E">
        <w:rPr>
          <w:rFonts w:ascii="Arial" w:eastAsia="Times New Roman" w:hAnsi="Arial" w:cs="Times New Roman"/>
          <w:sz w:val="18"/>
          <w:szCs w:val="20"/>
          <w:lang w:eastAsia="x-none"/>
        </w:rPr>
        <w:t xml:space="preserve">22 </w:t>
      </w:r>
      <w:r w:rsidR="0030719F">
        <w:rPr>
          <w:rFonts w:ascii="Arial" w:eastAsia="Times New Roman" w:hAnsi="Arial" w:cs="Times New Roman"/>
          <w:sz w:val="18"/>
          <w:szCs w:val="20"/>
          <w:lang w:eastAsia="x-none"/>
        </w:rPr>
        <w:t>października</w:t>
      </w:r>
      <w:r w:rsidR="008E6F63">
        <w:rPr>
          <w:rFonts w:ascii="Arial" w:eastAsia="Times New Roman" w:hAnsi="Arial" w:cs="Times New Roman"/>
          <w:sz w:val="18"/>
          <w:szCs w:val="20"/>
          <w:lang w:eastAsia="x-none"/>
        </w:rPr>
        <w:t xml:space="preserve"> </w:t>
      </w:r>
      <w:r w:rsidRPr="00342A87">
        <w:rPr>
          <w:rFonts w:ascii="Arial" w:eastAsia="Times New Roman" w:hAnsi="Arial" w:cs="Times New Roman"/>
          <w:sz w:val="18"/>
          <w:szCs w:val="20"/>
          <w:lang w:eastAsia="x-none"/>
        </w:rPr>
        <w:t>2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>0</w:t>
      </w:r>
      <w:r w:rsidR="008E6F63">
        <w:rPr>
          <w:rFonts w:ascii="Arial" w:eastAsia="Times New Roman" w:hAnsi="Arial" w:cs="Times New Roman"/>
          <w:sz w:val="18"/>
          <w:szCs w:val="20"/>
          <w:lang w:eastAsia="x-none"/>
        </w:rPr>
        <w:t xml:space="preserve">21 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>r.</w:t>
      </w:r>
    </w:p>
    <w:p w14:paraId="7B54B0D4" w14:textId="77777777" w:rsidR="00342A87" w:rsidRPr="00342A87" w:rsidRDefault="00342A87" w:rsidP="00342A8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val="x-none" w:eastAsia="x-none"/>
        </w:rPr>
      </w:pPr>
      <w:r w:rsidRPr="00342A87"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x-none"/>
        </w:rPr>
        <w:t xml:space="preserve">RAPORT: </w:t>
      </w:r>
      <w:r w:rsidR="003A24B7" w:rsidRPr="003A24B7">
        <w:rPr>
          <w:rFonts w:ascii="Times New Roman" w:hAnsi="Times New Roman"/>
          <w:b/>
          <w:smallCaps/>
          <w:color w:val="003366"/>
          <w:sz w:val="48"/>
          <w:szCs w:val="48"/>
        </w:rPr>
        <w:t>Ubezpieczenia Społeczne</w:t>
      </w:r>
    </w:p>
    <w:p w14:paraId="7B10B7C3" w14:textId="77777777" w:rsidR="00342A87" w:rsidRDefault="00342A87" w:rsidP="00442186">
      <w:pPr>
        <w:spacing w:after="0" w:line="240" w:lineRule="auto"/>
        <w:jc w:val="both"/>
        <w:rPr>
          <w:rFonts w:ascii="Calibri" w:eastAsia="Calibri" w:hAnsi="Calibri" w:cs="Times New Roman"/>
          <w:b/>
          <w:sz w:val="14"/>
          <w:szCs w:val="16"/>
        </w:rPr>
      </w:pPr>
    </w:p>
    <w:p w14:paraId="4B66B2B1" w14:textId="77777777" w:rsidR="00772113" w:rsidRDefault="00772113" w:rsidP="00772113">
      <w:pPr>
        <w:spacing w:after="0" w:line="240" w:lineRule="auto"/>
        <w:jc w:val="both"/>
        <w:rPr>
          <w:b/>
          <w:sz w:val="28"/>
          <w:szCs w:val="28"/>
        </w:rPr>
      </w:pPr>
    </w:p>
    <w:p w14:paraId="3DE21E12" w14:textId="77777777" w:rsidR="003A24B7" w:rsidRPr="001F0603" w:rsidRDefault="003A24B7" w:rsidP="003A24B7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8172"/>
      </w:tblGrid>
      <w:tr w:rsidR="003A24B7" w:rsidRPr="00F21FC5" w14:paraId="02E5CBE9" w14:textId="77777777" w:rsidTr="00650867">
        <w:tc>
          <w:tcPr>
            <w:tcW w:w="1008" w:type="dxa"/>
          </w:tcPr>
          <w:p w14:paraId="26A8765A" w14:textId="77777777" w:rsidR="003A24B7" w:rsidRPr="00F21FC5" w:rsidRDefault="003A24B7" w:rsidP="00650867">
            <w:pPr>
              <w:spacing w:after="0" w:line="24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>
              <w:br w:type="column"/>
            </w:r>
            <w:r>
              <w:rPr>
                <w:noProof/>
                <w:sz w:val="10"/>
                <w:szCs w:val="16"/>
                <w:lang w:eastAsia="pl-PL"/>
              </w:rPr>
              <w:drawing>
                <wp:inline distT="0" distB="0" distL="0" distR="0" wp14:anchorId="2BB067CB" wp14:editId="298AB322">
                  <wp:extent cx="504825" cy="676275"/>
                  <wp:effectExtent l="0" t="0" r="9525" b="9525"/>
                  <wp:docPr id="2" name="Obraz 2" descr="na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nag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14:paraId="27D11E0F" w14:textId="77777777" w:rsidR="003A24B7" w:rsidRPr="00F21FC5" w:rsidRDefault="003A24B7" w:rsidP="00650867">
            <w:pPr>
              <w:spacing w:after="0" w:line="240" w:lineRule="auto"/>
              <w:jc w:val="both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caps/>
                <w:sz w:val="16"/>
                <w:szCs w:val="16"/>
              </w:rPr>
              <w:t>dr Wojciech Nagel</w:t>
            </w:r>
          </w:p>
          <w:p w14:paraId="1C7AE43E" w14:textId="77777777" w:rsidR="003A24B7" w:rsidRPr="00F21FC5" w:rsidRDefault="003A24B7" w:rsidP="00650867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>minister ds. ubezpieczeń społecznych Gospodarczego Gabinetu Cieni BCC</w:t>
            </w:r>
          </w:p>
          <w:p w14:paraId="3192DA3E" w14:textId="77777777" w:rsidR="003A24B7" w:rsidRDefault="003A24B7" w:rsidP="00650867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  <w:r w:rsidRPr="00016115">
              <w:rPr>
                <w:rFonts w:ascii="Bookman Old Style" w:hAnsi="Bookman Old Style"/>
                <w:i/>
                <w:sz w:val="14"/>
                <w:szCs w:val="14"/>
              </w:rPr>
              <w:t>Dr nauk ekonomicznych w specjalności ubezpieczenie społeczne (2001, UEK). Członek Rady Nadzorczej ZUS i Zespołu US Rady Dialogu Społecznego (wcześniej Trójstronnej Komisji ds. SG) od 2005 r. Dwukrotnie doradca Ministra Pracy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br/>
            </w:r>
            <w:r w:rsidRPr="00016115">
              <w:rPr>
                <w:rFonts w:ascii="Bookman Old Style" w:hAnsi="Bookman Old Style"/>
                <w:i/>
                <w:sz w:val="14"/>
                <w:szCs w:val="14"/>
              </w:rPr>
              <w:t>i Polityki Społecznej (1992, 2005), współtwórca i zastępca szefa centralnego Urzędu Pracy (1991-1992). Ekspert BCC ds. ubezpieczeń społecznych</w:t>
            </w:r>
          </w:p>
          <w:p w14:paraId="69CB4D72" w14:textId="77777777" w:rsidR="003A24B7" w:rsidRPr="00F21FC5" w:rsidRDefault="003A24B7" w:rsidP="00650867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</w:rPr>
            </w:pP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 2" w:char="F027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601 329 181 </w:t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t xml:space="preserve"> wojciech.nagel@bcc.org.pl</w:t>
            </w:r>
          </w:p>
          <w:p w14:paraId="3766EED9" w14:textId="77777777" w:rsidR="003A24B7" w:rsidRPr="00F21FC5" w:rsidRDefault="003A24B7" w:rsidP="00650867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14:paraId="44CC4B4A" w14:textId="00830596" w:rsidR="00793AFD" w:rsidRDefault="00793AFD" w:rsidP="008E6F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D7A0350" w14:textId="0CDDFA45" w:rsidR="00167FED" w:rsidRDefault="00167FED" w:rsidP="008E6F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D6DEB7" w14:textId="602AEE6A" w:rsidR="00167FED" w:rsidRDefault="00167FED" w:rsidP="008E6F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0953D6" w14:textId="02E23833" w:rsidR="00167FED" w:rsidRDefault="00167FED" w:rsidP="008E6F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4"/>
      </w:tblGrid>
      <w:tr w:rsidR="00167FED" w:rsidRPr="000325CF" w14:paraId="25570C4F" w14:textId="77777777" w:rsidTr="00841F3F">
        <w:tc>
          <w:tcPr>
            <w:tcW w:w="9104" w:type="dxa"/>
          </w:tcPr>
          <w:p w14:paraId="559DE495" w14:textId="77777777" w:rsidR="00167FED" w:rsidRPr="000325CF" w:rsidRDefault="00167FED" w:rsidP="00841F3F">
            <w:pPr>
              <w:spacing w:after="0"/>
              <w:jc w:val="center"/>
            </w:pPr>
            <w:r>
              <w:rPr>
                <w:b/>
                <w:bCs/>
              </w:rPr>
              <w:t xml:space="preserve">REKOMENDACJE </w:t>
            </w:r>
            <w:r w:rsidRPr="00873433">
              <w:rPr>
                <w:b/>
                <w:bCs/>
              </w:rPr>
              <w:t>DLA RZĄDU</w:t>
            </w:r>
          </w:p>
        </w:tc>
      </w:tr>
      <w:tr w:rsidR="00167FED" w:rsidRPr="00A25584" w14:paraId="2BDBCB17" w14:textId="77777777" w:rsidTr="00841F3F">
        <w:trPr>
          <w:trHeight w:val="1266"/>
        </w:trPr>
        <w:tc>
          <w:tcPr>
            <w:tcW w:w="9104" w:type="dxa"/>
          </w:tcPr>
          <w:p w14:paraId="178006EC" w14:textId="77777777" w:rsidR="00167FED" w:rsidRPr="00DF0D86" w:rsidRDefault="00167FED" w:rsidP="00841F3F">
            <w:pPr>
              <w:pStyle w:val="Akapitzlist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55E873" w14:textId="165D0806" w:rsidR="00167FED" w:rsidRPr="00BE1A5E" w:rsidRDefault="00167FED" w:rsidP="00BE1A5E">
            <w:pPr>
              <w:pStyle w:val="Akapitzlist"/>
              <w:numPr>
                <w:ilvl w:val="0"/>
                <w:numId w:val="21"/>
              </w:numPr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03C65">
              <w:rPr>
                <w:rFonts w:ascii="Arial" w:hAnsi="Arial" w:cs="Arial"/>
                <w:bCs/>
                <w:sz w:val="18"/>
                <w:szCs w:val="18"/>
              </w:rPr>
              <w:t>W</w:t>
            </w:r>
            <w:r w:rsidRPr="00056480">
              <w:rPr>
                <w:rFonts w:ascii="Arial" w:hAnsi="Arial" w:cs="Arial"/>
                <w:bCs/>
                <w:sz w:val="18"/>
                <w:szCs w:val="18"/>
              </w:rPr>
              <w:t>prowadzenie do prac legislacyjnych</w:t>
            </w:r>
            <w:r w:rsidR="00BE1A5E">
              <w:rPr>
                <w:rFonts w:ascii="Arial" w:hAnsi="Arial" w:cs="Arial"/>
                <w:bCs/>
                <w:sz w:val="18"/>
                <w:szCs w:val="18"/>
              </w:rPr>
              <w:t xml:space="preserve"> RM</w:t>
            </w:r>
            <w:r w:rsidRPr="00C03C6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56480">
              <w:rPr>
                <w:rFonts w:ascii="Arial" w:hAnsi="Arial" w:cs="Arial"/>
                <w:bCs/>
                <w:sz w:val="18"/>
                <w:szCs w:val="18"/>
              </w:rPr>
              <w:t xml:space="preserve">i wdrożenie przepisów dotyczących wydłużania aktywności zawodowej. </w:t>
            </w:r>
            <w:r w:rsidR="00BE1A5E" w:rsidRPr="00BE1A5E">
              <w:rPr>
                <w:rFonts w:ascii="Arial" w:hAnsi="Arial" w:cs="Arial"/>
                <w:bCs/>
                <w:sz w:val="18"/>
                <w:szCs w:val="18"/>
              </w:rPr>
              <w:t xml:space="preserve">Opublikowane w czerwcu b.r. wyniki badania aktywności ekonomicznej ludności (BAEL) </w:t>
            </w:r>
            <w:r w:rsidR="00BE1A5E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="00BE1A5E" w:rsidRPr="00BE1A5E">
              <w:rPr>
                <w:rFonts w:ascii="Arial" w:hAnsi="Arial" w:cs="Arial"/>
                <w:bCs/>
                <w:sz w:val="18"/>
                <w:szCs w:val="18"/>
              </w:rPr>
              <w:t xml:space="preserve"> dane</w:t>
            </w:r>
            <w:r w:rsidR="00BE1A5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E1A5E" w:rsidRPr="00BE1A5E">
              <w:rPr>
                <w:rFonts w:ascii="Arial" w:hAnsi="Arial" w:cs="Arial"/>
                <w:bCs/>
                <w:sz w:val="18"/>
                <w:szCs w:val="18"/>
              </w:rPr>
              <w:t xml:space="preserve">przeciętne dla I kwartału b.r. wskazują, że osoby aktywne zawodowo stanowiły 57,3% ludności w wieku 15-89 lat. Pracujący stanowili w I kwartale b.r. 55,0% ludności w powyższym przedziale wiekowym. Wobec ubytków siły roboczej i wyczerpywania się napływu zasobów zewnętrznych należy podjąć działania zaradcze. Obejmować one mogą zachęty dla osób dłużej pracujących. Spadająca ich relacja do rosnącej populacji emerytów i rencistów, czyni projekt niezbędnym do wdrożenia.  W 2017 r. Ministerstwo Rozwoju wystąpiło z inicjatywą, której istotą było finansowe nagradzanie obywateli, decydujących się na pozostanie na rynku pracy po uzyskaniu uprawnień emerytalnych. Założenia projektu obejmowały zachęty związane z pozostaniem na rynku pracy dłuższym o 1 lub 2 lata. Należy do niego powrócić. </w:t>
            </w:r>
          </w:p>
          <w:p w14:paraId="78C34124" w14:textId="4BA1DDC8" w:rsidR="00167FED" w:rsidRPr="00C03C65" w:rsidRDefault="00167FED" w:rsidP="00167FED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56480">
              <w:rPr>
                <w:rFonts w:ascii="Arial" w:hAnsi="Arial" w:cs="Arial"/>
                <w:bCs/>
                <w:sz w:val="18"/>
                <w:szCs w:val="18"/>
              </w:rPr>
              <w:t xml:space="preserve">Należy wprowadzić kryterium dochodowe do świadczeń społecznych w szczególności wobec </w:t>
            </w:r>
            <w:r w:rsidRPr="00056480">
              <w:rPr>
                <w:rFonts w:ascii="Arial" w:hAnsi="Arial" w:cs="Arial"/>
                <w:bCs/>
                <w:sz w:val="18"/>
                <w:szCs w:val="18"/>
              </w:rPr>
              <w:br/>
              <w:t>tzw. 13 emerytury. Świadczenia solidarne w UE są kierowane do osób szczególnie potrzebujących, posiadających najniższe emerytury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</w:t>
            </w:r>
            <w:r w:rsidR="00BE1A5E">
              <w:rPr>
                <w:rFonts w:ascii="Arial" w:hAnsi="Arial" w:cs="Arial"/>
                <w:bCs/>
                <w:sz w:val="18"/>
                <w:szCs w:val="18"/>
              </w:rPr>
              <w:t xml:space="preserve">nie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ma powodu, żeby stosować odmienne rozwiązania. </w:t>
            </w:r>
          </w:p>
          <w:p w14:paraId="75A6F936" w14:textId="77777777" w:rsidR="00167FED" w:rsidRPr="00056480" w:rsidRDefault="00167FED" w:rsidP="00167FED">
            <w:pPr>
              <w:pStyle w:val="Akapitzlist"/>
              <w:numPr>
                <w:ilvl w:val="0"/>
                <w:numId w:val="21"/>
              </w:numPr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56480">
              <w:rPr>
                <w:rFonts w:ascii="Arial" w:hAnsi="Arial" w:cs="Arial"/>
                <w:bCs/>
                <w:sz w:val="18"/>
                <w:szCs w:val="18"/>
              </w:rPr>
              <w:t xml:space="preserve">Ministerstwa Rodziny i Finansów powinny aktywnie wesprzeć dalszą promocję aktywnego oszczędzania na cele emerytalne, w szczególności PPK. Odbywa się ona w zasadzie wyłącznie siłami i zasobami instytucji finansowych, zwłaszcza grupy PFR. Obecny poziom partycypacji wynosi ok 25% i jest poniżej oczekiwań. Wsparcie PPK leży w obiektywnym interesie podatników, ubezpieczonych oraz finansów publicznych. </w:t>
            </w:r>
          </w:p>
          <w:p w14:paraId="10F5416E" w14:textId="21B385A1" w:rsidR="00167FED" w:rsidRPr="00DF0D86" w:rsidRDefault="00167FED" w:rsidP="00167FED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0AF8B0" w14:textId="77777777" w:rsidR="00167FED" w:rsidRPr="00FE3855" w:rsidRDefault="00167FED" w:rsidP="00167FED">
      <w:pPr>
        <w:spacing w:after="0"/>
        <w:rPr>
          <w:sz w:val="12"/>
          <w:szCs w:val="16"/>
        </w:rPr>
      </w:pPr>
    </w:p>
    <w:p w14:paraId="01F34EC9" w14:textId="222F131C" w:rsidR="00167FED" w:rsidRDefault="00167FED" w:rsidP="00167FED">
      <w:pPr>
        <w:spacing w:after="0"/>
        <w:rPr>
          <w:sz w:val="12"/>
          <w:szCs w:val="16"/>
        </w:rPr>
      </w:pPr>
    </w:p>
    <w:p w14:paraId="02FCDA5D" w14:textId="3951D650" w:rsidR="00167FED" w:rsidRDefault="00167FED" w:rsidP="00167FED">
      <w:pPr>
        <w:spacing w:after="0"/>
        <w:rPr>
          <w:sz w:val="12"/>
          <w:szCs w:val="16"/>
        </w:rPr>
      </w:pPr>
    </w:p>
    <w:p w14:paraId="13977B35" w14:textId="355E56F4" w:rsidR="00167FED" w:rsidRDefault="00167FED" w:rsidP="00167FED">
      <w:pPr>
        <w:spacing w:after="0"/>
        <w:rPr>
          <w:sz w:val="12"/>
          <w:szCs w:val="16"/>
        </w:rPr>
      </w:pPr>
    </w:p>
    <w:p w14:paraId="7F3A990A" w14:textId="060E2300" w:rsidR="00167FED" w:rsidRDefault="00167FED" w:rsidP="00167FED">
      <w:pPr>
        <w:spacing w:after="0"/>
        <w:rPr>
          <w:sz w:val="12"/>
          <w:szCs w:val="16"/>
        </w:rPr>
      </w:pPr>
    </w:p>
    <w:p w14:paraId="67616EF8" w14:textId="1FEB143C" w:rsidR="00167FED" w:rsidRDefault="00167FED" w:rsidP="00167FED">
      <w:pPr>
        <w:spacing w:after="0"/>
        <w:rPr>
          <w:sz w:val="12"/>
          <w:szCs w:val="16"/>
        </w:rPr>
      </w:pPr>
    </w:p>
    <w:p w14:paraId="18740A1B" w14:textId="36B46C26" w:rsidR="00167FED" w:rsidRDefault="00167FED" w:rsidP="00167FED">
      <w:pPr>
        <w:spacing w:after="0"/>
        <w:rPr>
          <w:sz w:val="12"/>
          <w:szCs w:val="16"/>
        </w:rPr>
      </w:pPr>
    </w:p>
    <w:p w14:paraId="42A5CC70" w14:textId="6DA0CE55" w:rsidR="00167FED" w:rsidRDefault="00167FED" w:rsidP="00167FED">
      <w:pPr>
        <w:spacing w:after="0"/>
        <w:rPr>
          <w:sz w:val="12"/>
          <w:szCs w:val="16"/>
        </w:rPr>
      </w:pPr>
    </w:p>
    <w:p w14:paraId="4D18976D" w14:textId="437616E0" w:rsidR="00167FED" w:rsidRDefault="00167FED" w:rsidP="00167FED">
      <w:pPr>
        <w:spacing w:after="0"/>
        <w:rPr>
          <w:sz w:val="12"/>
          <w:szCs w:val="16"/>
        </w:rPr>
      </w:pPr>
    </w:p>
    <w:p w14:paraId="245866E5" w14:textId="6E7018A9" w:rsidR="00167FED" w:rsidRDefault="00167FED" w:rsidP="00167FED">
      <w:pPr>
        <w:spacing w:after="0"/>
        <w:rPr>
          <w:sz w:val="12"/>
          <w:szCs w:val="16"/>
        </w:rPr>
      </w:pPr>
    </w:p>
    <w:p w14:paraId="5D6EF172" w14:textId="04318B8B" w:rsidR="00167FED" w:rsidRDefault="00167FED" w:rsidP="00167FED">
      <w:pPr>
        <w:spacing w:after="0"/>
        <w:rPr>
          <w:sz w:val="12"/>
          <w:szCs w:val="16"/>
        </w:rPr>
      </w:pPr>
    </w:p>
    <w:p w14:paraId="7BC300E6" w14:textId="77777777" w:rsidR="00167FED" w:rsidRPr="00FE3855" w:rsidRDefault="00167FED" w:rsidP="00167FED">
      <w:pPr>
        <w:spacing w:after="0"/>
        <w:rPr>
          <w:sz w:val="12"/>
          <w:szCs w:val="16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7"/>
      </w:tblGrid>
      <w:tr w:rsidR="00167FED" w:rsidRPr="00FA53AC" w14:paraId="2CB8217F" w14:textId="77777777" w:rsidTr="00167FED">
        <w:tc>
          <w:tcPr>
            <w:tcW w:w="9217" w:type="dxa"/>
          </w:tcPr>
          <w:p w14:paraId="3762E2A3" w14:textId="77777777" w:rsidR="002374FB" w:rsidRDefault="002374FB" w:rsidP="00167FE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  <w:p w14:paraId="20D3E23C" w14:textId="0AD20DAA" w:rsidR="00167FED" w:rsidRPr="009207D2" w:rsidRDefault="00167FED" w:rsidP="00167FED">
            <w:pPr>
              <w:spacing w:after="0" w:line="288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9207D2">
              <w:rPr>
                <w:rFonts w:ascii="Arial" w:hAnsi="Arial" w:cs="Arial"/>
                <w:b/>
                <w:sz w:val="20"/>
                <w:szCs w:val="18"/>
              </w:rPr>
              <w:t>PODSUMOWANIE DOTYCHCZASOWYCH DZIAŁAŃ RZĄDU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W ZAKRESIE UBEZPIECZEŃ SPOŁECZNYCH</w:t>
            </w:r>
          </w:p>
          <w:p w14:paraId="6E221623" w14:textId="7F1A3273" w:rsidR="00167FED" w:rsidRPr="00FA53AC" w:rsidRDefault="00167FED" w:rsidP="00841F3F">
            <w:pPr>
              <w:spacing w:after="0" w:line="312" w:lineRule="auto"/>
              <w:jc w:val="center"/>
              <w:rPr>
                <w:b/>
              </w:rPr>
            </w:pPr>
          </w:p>
        </w:tc>
      </w:tr>
      <w:tr w:rsidR="00167FED" w:rsidRPr="008E12F1" w14:paraId="303FEBFE" w14:textId="77777777" w:rsidTr="00167FED">
        <w:trPr>
          <w:trHeight w:val="53"/>
        </w:trPr>
        <w:tc>
          <w:tcPr>
            <w:tcW w:w="9217" w:type="dxa"/>
          </w:tcPr>
          <w:p w14:paraId="2EE9DB61" w14:textId="77777777" w:rsidR="00167FED" w:rsidRDefault="00167FED" w:rsidP="00841F3F">
            <w:pPr>
              <w:spacing w:after="0"/>
              <w:jc w:val="both"/>
              <w:rPr>
                <w:bCs/>
              </w:rPr>
            </w:pPr>
          </w:p>
          <w:p w14:paraId="3801A36B" w14:textId="77777777" w:rsidR="00167FED" w:rsidRPr="0086776B" w:rsidRDefault="00167FED" w:rsidP="00167FED">
            <w:pPr>
              <w:spacing w:after="0" w:line="288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776B">
              <w:rPr>
                <w:rFonts w:ascii="Arial" w:eastAsia="Calibri" w:hAnsi="Arial" w:cs="Arial"/>
                <w:b/>
                <w:sz w:val="18"/>
                <w:szCs w:val="18"/>
              </w:rPr>
              <w:t>Pozytywy:</w:t>
            </w:r>
          </w:p>
          <w:p w14:paraId="31E72493" w14:textId="77777777" w:rsidR="00167FED" w:rsidRDefault="00167FED" w:rsidP="00167FED">
            <w:pPr>
              <w:spacing w:after="0" w:line="312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B72FA0A" w14:textId="77777777" w:rsidR="00167FED" w:rsidRPr="00167FED" w:rsidRDefault="00167FED" w:rsidP="00167FED">
            <w:pPr>
              <w:spacing w:after="0" w:line="312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4EF14EB" w14:textId="77777777" w:rsidR="00167FED" w:rsidRPr="00056480" w:rsidRDefault="00167FED" w:rsidP="00167FED">
            <w:pPr>
              <w:numPr>
                <w:ilvl w:val="0"/>
                <w:numId w:val="22"/>
              </w:numPr>
              <w:spacing w:after="0" w:line="312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056480">
              <w:rPr>
                <w:rFonts w:ascii="Arial" w:eastAsia="Calibri" w:hAnsi="Arial" w:cs="Arial"/>
                <w:sz w:val="18"/>
                <w:szCs w:val="18"/>
              </w:rPr>
              <w:t>Przedstawienie ogólnej strategii demograficznej do 2040 roku. Wymaga ona skatalogowania metod i narzędzi realizacyjnych</w:t>
            </w:r>
          </w:p>
          <w:p w14:paraId="7302598E" w14:textId="1805E0BD" w:rsidR="00167FED" w:rsidRPr="00056480" w:rsidRDefault="002374FB" w:rsidP="00BE1A5E">
            <w:pPr>
              <w:numPr>
                <w:ilvl w:val="0"/>
                <w:numId w:val="22"/>
              </w:numPr>
              <w:spacing w:after="0" w:line="312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56480">
              <w:rPr>
                <w:rFonts w:ascii="Arial" w:eastAsia="Calibri" w:hAnsi="Arial" w:cs="Arial"/>
                <w:sz w:val="18"/>
                <w:szCs w:val="18"/>
              </w:rPr>
              <w:t>Projekt zmian</w:t>
            </w:r>
            <w:r w:rsidR="00167FED" w:rsidRPr="00056480">
              <w:rPr>
                <w:rFonts w:ascii="Arial" w:eastAsia="Calibri" w:hAnsi="Arial" w:cs="Arial"/>
                <w:sz w:val="18"/>
                <w:szCs w:val="18"/>
              </w:rPr>
              <w:t xml:space="preserve"> korygujących przepis</w:t>
            </w:r>
            <w:r w:rsidR="00167FED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167FED" w:rsidRPr="00056480">
              <w:rPr>
                <w:rFonts w:ascii="Arial" w:eastAsia="Calibri" w:hAnsi="Arial" w:cs="Arial"/>
                <w:sz w:val="18"/>
                <w:szCs w:val="18"/>
              </w:rPr>
              <w:t xml:space="preserve"> o emeryturach pomostowych</w:t>
            </w:r>
            <w:r w:rsidR="00167FED">
              <w:rPr>
                <w:rFonts w:ascii="Arial" w:eastAsia="Calibri" w:hAnsi="Arial" w:cs="Arial"/>
                <w:sz w:val="18"/>
                <w:szCs w:val="18"/>
              </w:rPr>
              <w:t xml:space="preserve"> w zakresie </w:t>
            </w:r>
            <w:r w:rsidR="00BE1A5E" w:rsidRPr="00056480">
              <w:rPr>
                <w:rFonts w:ascii="Arial" w:eastAsia="Calibri" w:hAnsi="Arial" w:cs="Arial"/>
                <w:sz w:val="18"/>
                <w:szCs w:val="18"/>
              </w:rPr>
              <w:t>porządkującym</w:t>
            </w:r>
            <w:r w:rsidR="00167FED" w:rsidRPr="00056480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67FED">
              <w:rPr>
                <w:rFonts w:ascii="Arial" w:eastAsia="Calibri" w:hAnsi="Arial" w:cs="Arial"/>
                <w:sz w:val="18"/>
                <w:szCs w:val="18"/>
              </w:rPr>
              <w:t xml:space="preserve">oraz </w:t>
            </w:r>
            <w:r w:rsidR="00167FED" w:rsidRPr="00056480">
              <w:rPr>
                <w:rFonts w:ascii="Arial" w:eastAsia="Calibri" w:hAnsi="Arial" w:cs="Arial"/>
                <w:sz w:val="18"/>
                <w:szCs w:val="18"/>
              </w:rPr>
              <w:t xml:space="preserve">precyzującym uprawnienia instytucji i pracodawcy. </w:t>
            </w:r>
          </w:p>
          <w:p w14:paraId="3C3282CA" w14:textId="77777777" w:rsidR="00167FED" w:rsidRDefault="00167FED" w:rsidP="00167FED">
            <w:pPr>
              <w:spacing w:after="0" w:line="312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8D04FED" w14:textId="77777777" w:rsidR="00167FED" w:rsidRDefault="00167FED" w:rsidP="00167FED">
            <w:pPr>
              <w:spacing w:after="0" w:line="312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A97416A" w14:textId="77777777" w:rsidR="00167FED" w:rsidRDefault="00167FED" w:rsidP="00167FED">
            <w:pPr>
              <w:spacing w:after="0" w:line="312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7B56556" w14:textId="77777777" w:rsidR="00167FED" w:rsidRPr="004C3F00" w:rsidRDefault="00167FED" w:rsidP="00167FED">
            <w:pPr>
              <w:spacing w:after="0" w:line="312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C3F00">
              <w:rPr>
                <w:rFonts w:ascii="Arial" w:eastAsia="Calibri" w:hAnsi="Arial" w:cs="Arial"/>
                <w:b/>
                <w:sz w:val="18"/>
                <w:szCs w:val="18"/>
              </w:rPr>
              <w:t>Zagrożenia:</w:t>
            </w:r>
          </w:p>
          <w:p w14:paraId="14FD6851" w14:textId="77777777" w:rsidR="00167FED" w:rsidRPr="00F64564" w:rsidRDefault="00167FED" w:rsidP="00167FED">
            <w:pPr>
              <w:spacing w:after="0" w:line="312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979742" w14:textId="77777777" w:rsidR="00167FED" w:rsidRDefault="00167FED" w:rsidP="00167FED">
            <w:pPr>
              <w:spacing w:after="0" w:line="312" w:lineRule="auto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4A92A2C8" w14:textId="1BD8A90D" w:rsidR="00167FED" w:rsidRPr="00BE1A5E" w:rsidRDefault="00167FED" w:rsidP="00167FE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Arial" w:eastAsia="Calibri" w:hAnsi="Arial" w:cs="Arial"/>
                <w:bCs/>
                <w:sz w:val="18"/>
                <w:szCs w:val="20"/>
              </w:rPr>
            </w:pPr>
            <w:r w:rsidRPr="00BE1A5E">
              <w:rPr>
                <w:rFonts w:ascii="Arial" w:eastAsia="Calibri" w:hAnsi="Arial" w:cs="Arial"/>
                <w:bCs/>
                <w:sz w:val="18"/>
                <w:szCs w:val="20"/>
              </w:rPr>
              <w:t>Utrzymująca się niska wydolność funduszy w FUS (62-75%). Pomimo rekordowych zaplanowanych w 2022 roku wpływów do FUS (299,1 mld zł), dotacja do funduszu wzrośnie o blisko 5,3%</w:t>
            </w:r>
            <w:r w:rsidR="00BE1A5E">
              <w:rPr>
                <w:rFonts w:ascii="Arial" w:eastAsia="Calibri" w:hAnsi="Arial" w:cs="Arial"/>
                <w:bCs/>
                <w:sz w:val="18"/>
                <w:szCs w:val="20"/>
              </w:rPr>
              <w:t>,</w:t>
            </w:r>
            <w:r w:rsidRPr="00BE1A5E">
              <w:rPr>
                <w:rFonts w:ascii="Arial" w:eastAsia="Calibri" w:hAnsi="Arial" w:cs="Arial"/>
                <w:bCs/>
                <w:sz w:val="18"/>
                <w:szCs w:val="20"/>
              </w:rPr>
              <w:t xml:space="preserve"> </w:t>
            </w:r>
            <w:r w:rsidR="00BE1A5E">
              <w:rPr>
                <w:rFonts w:ascii="Arial" w:eastAsia="Calibri" w:hAnsi="Arial" w:cs="Arial"/>
                <w:bCs/>
                <w:sz w:val="18"/>
                <w:szCs w:val="20"/>
              </w:rPr>
              <w:t>t</w:t>
            </w:r>
            <w:r w:rsidRPr="00BE1A5E">
              <w:rPr>
                <w:rFonts w:ascii="Arial" w:eastAsia="Calibri" w:hAnsi="Arial" w:cs="Arial"/>
                <w:bCs/>
                <w:sz w:val="18"/>
                <w:szCs w:val="20"/>
              </w:rPr>
              <w:t xml:space="preserve">zw. suwak wyniesie blisko 7,2 mld zł. </w:t>
            </w:r>
            <w:r w:rsidR="00BE1A5E" w:rsidRPr="00BE1A5E">
              <w:rPr>
                <w:rFonts w:ascii="Arial" w:eastAsia="Calibri" w:hAnsi="Arial" w:cs="Arial"/>
                <w:bCs/>
                <w:sz w:val="18"/>
                <w:szCs w:val="20"/>
              </w:rPr>
              <w:t>Pieniądze te nie trafią na rynek finansowy.</w:t>
            </w:r>
          </w:p>
          <w:p w14:paraId="767BAA65" w14:textId="77777777" w:rsidR="00167FED" w:rsidRPr="00BE1A5E" w:rsidRDefault="00167FED" w:rsidP="00167FE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Arial" w:eastAsia="Calibri" w:hAnsi="Arial" w:cs="Arial"/>
                <w:bCs/>
                <w:sz w:val="18"/>
                <w:szCs w:val="20"/>
              </w:rPr>
            </w:pPr>
            <w:r w:rsidRPr="00BE1A5E">
              <w:rPr>
                <w:rFonts w:ascii="Arial" w:eastAsia="Calibri" w:hAnsi="Arial" w:cs="Arial"/>
                <w:bCs/>
                <w:sz w:val="18"/>
                <w:szCs w:val="20"/>
              </w:rPr>
              <w:t>Stale rosnąca liczba emerytów i rencistów, szacowana w przyszłym roku na 8,2 mln osób (wzrost o 1,5% r/r)</w:t>
            </w:r>
          </w:p>
          <w:p w14:paraId="0144D96F" w14:textId="77777777" w:rsidR="00167FED" w:rsidRPr="00BE1A5E" w:rsidRDefault="00167FED" w:rsidP="00167FED">
            <w:pPr>
              <w:numPr>
                <w:ilvl w:val="0"/>
                <w:numId w:val="23"/>
              </w:numPr>
              <w:spacing w:after="0" w:line="312" w:lineRule="auto"/>
              <w:jc w:val="both"/>
              <w:rPr>
                <w:rFonts w:ascii="Arial" w:eastAsia="Calibri" w:hAnsi="Arial" w:cs="Arial"/>
                <w:bCs/>
                <w:sz w:val="18"/>
                <w:szCs w:val="20"/>
              </w:rPr>
            </w:pPr>
            <w:r w:rsidRPr="00BE1A5E">
              <w:rPr>
                <w:rFonts w:ascii="Arial" w:eastAsia="Calibri" w:hAnsi="Arial" w:cs="Arial"/>
                <w:bCs/>
                <w:sz w:val="18"/>
                <w:szCs w:val="20"/>
              </w:rPr>
              <w:t xml:space="preserve">Odpływy z rynku pracy - spadek o ok. 200 tys. osób w wieku produkcyjnym, wzrost o blisko 200 tys. osób w wieku emerytalnym. </w:t>
            </w:r>
          </w:p>
          <w:p w14:paraId="49562ACD" w14:textId="77777777" w:rsidR="00167FED" w:rsidRDefault="00167FED" w:rsidP="00167FED">
            <w:pPr>
              <w:spacing w:after="0" w:line="312" w:lineRule="auto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09B4CC26" w14:textId="77777777" w:rsidR="00167FED" w:rsidRDefault="00167FED" w:rsidP="00167FED">
            <w:pPr>
              <w:spacing w:after="0" w:line="312" w:lineRule="auto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78088C4B" w14:textId="77777777" w:rsidR="00167FED" w:rsidRDefault="00167FED" w:rsidP="00167FED">
            <w:pPr>
              <w:spacing w:after="0" w:line="312" w:lineRule="auto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7AFB05D0" w14:textId="77777777" w:rsidR="00167FED" w:rsidRDefault="00167FED" w:rsidP="00167FED">
            <w:pPr>
              <w:spacing w:after="0" w:line="312" w:lineRule="auto"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</w:p>
          <w:p w14:paraId="71825691" w14:textId="26506703" w:rsidR="00167FED" w:rsidRPr="00167FED" w:rsidRDefault="00167FED" w:rsidP="00167FED">
            <w:pPr>
              <w:spacing w:after="0" w:line="360" w:lineRule="auto"/>
              <w:jc w:val="both"/>
              <w:rPr>
                <w:rFonts w:ascii="Arial" w:hAnsi="Arial" w:cs="Arial"/>
                <w:szCs w:val="18"/>
              </w:rPr>
            </w:pPr>
          </w:p>
        </w:tc>
      </w:tr>
    </w:tbl>
    <w:p w14:paraId="1F4D37BB" w14:textId="77777777" w:rsidR="00167FED" w:rsidRDefault="00167FED" w:rsidP="00167FED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14:paraId="3B92AEE1" w14:textId="054BC9FB" w:rsidR="00167FED" w:rsidRDefault="00167FED" w:rsidP="008E6F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7905D4D" w14:textId="085838E1" w:rsidR="00167FED" w:rsidRDefault="00167FED" w:rsidP="008E6F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41F910B" w14:textId="7A95B992" w:rsidR="002374FB" w:rsidRPr="00BE1A5E" w:rsidRDefault="002374FB" w:rsidP="002374F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1"/>
          <w:szCs w:val="21"/>
          <w:bdr w:val="none" w:sz="0" w:space="0" w:color="auto" w:frame="1"/>
          <w:lang w:eastAsia="pl-PL"/>
        </w:rPr>
      </w:pPr>
      <w:r w:rsidRPr="00BE1A5E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pl-PL"/>
        </w:rPr>
        <w:t xml:space="preserve">Opracowanie jest elementem Raportu Gospodarczego Gabinetu Cieni BCC dot. </w:t>
      </w:r>
      <w:r w:rsidR="00BE1A5E" w:rsidRPr="00BE1A5E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pl-PL"/>
        </w:rPr>
        <w:t>IV kwartału</w:t>
      </w:r>
      <w:r w:rsidRPr="00BE1A5E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pl-PL"/>
        </w:rPr>
        <w:t>. W najbliższych dniach będziemy prezentować poglądy poszczególnych ministrów związane z obecną sytuacją gospodarczą oraz rekomendacje dla rządu na najbliższe miesiące</w:t>
      </w:r>
      <w:r w:rsidRPr="00BE1A5E">
        <w:rPr>
          <w:rFonts w:ascii="Arial" w:eastAsia="Times New Roman" w:hAnsi="Arial" w:cs="Arial"/>
          <w:color w:val="000000"/>
          <w:sz w:val="16"/>
          <w:szCs w:val="16"/>
          <w:bdr w:val="none" w:sz="0" w:space="0" w:color="auto" w:frame="1"/>
          <w:lang w:eastAsia="pl-PL"/>
        </w:rPr>
        <w:t>. </w:t>
      </w:r>
    </w:p>
    <w:p w14:paraId="3B8AC46A" w14:textId="77777777" w:rsidR="00167FED" w:rsidRPr="00BE1A5E" w:rsidRDefault="00167FED" w:rsidP="008E6F63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6C711EB7" w14:textId="77777777" w:rsidR="003A24B7" w:rsidRDefault="003A24B7" w:rsidP="008E6F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CA6AA1C" w14:textId="784B77A1" w:rsidR="00BF3B74" w:rsidRPr="00056480" w:rsidRDefault="00BF3B74" w:rsidP="00C03C65">
      <w:pPr>
        <w:pStyle w:val="Akapitzlist"/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70D89DAE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16824F6A" w14:textId="77777777" w:rsidR="009207D2" w:rsidRPr="00167FED" w:rsidRDefault="009207D2" w:rsidP="003A24B7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</w:rPr>
      </w:pPr>
    </w:p>
    <w:p w14:paraId="2F4E5C47" w14:textId="77777777" w:rsidR="009207D2" w:rsidRPr="00167FED" w:rsidRDefault="009207D2" w:rsidP="003A24B7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</w:rPr>
      </w:pPr>
    </w:p>
    <w:p w14:paraId="29E5DDF1" w14:textId="77777777" w:rsidR="009207D2" w:rsidRPr="00167FED" w:rsidRDefault="009207D2" w:rsidP="003A24B7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</w:rPr>
      </w:pPr>
    </w:p>
    <w:p w14:paraId="72802650" w14:textId="77777777" w:rsidR="009207D2" w:rsidRPr="00167FED" w:rsidRDefault="009207D2" w:rsidP="003A24B7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</w:rPr>
      </w:pPr>
    </w:p>
    <w:p w14:paraId="394ABB02" w14:textId="77777777" w:rsidR="009207D2" w:rsidRPr="00167FED" w:rsidRDefault="009207D2" w:rsidP="003A24B7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</w:rPr>
      </w:pPr>
    </w:p>
    <w:p w14:paraId="02F4FD98" w14:textId="69AFFF17" w:rsidR="00793AFD" w:rsidRDefault="00793AFD" w:rsidP="00793AFD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  <w:r w:rsidRPr="00793AFD">
        <w:rPr>
          <w:rFonts w:ascii="Arial" w:hAnsi="Arial" w:cs="Arial"/>
          <w:sz w:val="16"/>
          <w:szCs w:val="18"/>
          <w:u w:val="single"/>
        </w:rPr>
        <w:t>Kontakt:</w:t>
      </w:r>
    </w:p>
    <w:p w14:paraId="1FD9F664" w14:textId="07CE166D" w:rsidR="00056480" w:rsidRDefault="00056480" w:rsidP="00793AFD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</w:p>
    <w:p w14:paraId="2BFA379B" w14:textId="77777777" w:rsidR="00056480" w:rsidRPr="00056480" w:rsidRDefault="00056480" w:rsidP="00056480">
      <w:pPr>
        <w:spacing w:after="0" w:line="100" w:lineRule="atLeast"/>
        <w:jc w:val="both"/>
        <w:rPr>
          <w:rFonts w:ascii="Arial" w:hAnsi="Arial" w:cs="Arial"/>
          <w:sz w:val="16"/>
          <w:szCs w:val="18"/>
        </w:rPr>
      </w:pPr>
      <w:r w:rsidRPr="00056480">
        <w:rPr>
          <w:rFonts w:ascii="Arial" w:hAnsi="Arial" w:cs="Arial"/>
          <w:b/>
          <w:bCs/>
          <w:sz w:val="16"/>
          <w:szCs w:val="18"/>
        </w:rPr>
        <w:t>Mirosław Kasprzak</w:t>
      </w:r>
    </w:p>
    <w:p w14:paraId="3933F12D" w14:textId="7DD36C8B" w:rsidR="00056480" w:rsidRPr="00056480" w:rsidRDefault="00056480" w:rsidP="00056480">
      <w:pPr>
        <w:spacing w:after="0" w:line="100" w:lineRule="atLeast"/>
        <w:jc w:val="both"/>
        <w:rPr>
          <w:rFonts w:ascii="Arial" w:hAnsi="Arial" w:cs="Arial"/>
          <w:sz w:val="16"/>
          <w:szCs w:val="18"/>
        </w:rPr>
      </w:pPr>
      <w:r w:rsidRPr="00056480">
        <w:rPr>
          <w:rFonts w:ascii="Arial" w:hAnsi="Arial" w:cs="Arial"/>
          <w:sz w:val="16"/>
          <w:szCs w:val="18"/>
        </w:rPr>
        <w:t>Rzecznik</w:t>
      </w:r>
      <w:r>
        <w:rPr>
          <w:rFonts w:ascii="Arial" w:hAnsi="Arial" w:cs="Arial"/>
          <w:sz w:val="16"/>
          <w:szCs w:val="18"/>
        </w:rPr>
        <w:t xml:space="preserve"> BCC</w:t>
      </w:r>
    </w:p>
    <w:p w14:paraId="6C380B71" w14:textId="77777777" w:rsidR="00056480" w:rsidRPr="00056480" w:rsidRDefault="00056480" w:rsidP="00056480">
      <w:pPr>
        <w:spacing w:after="0" w:line="100" w:lineRule="atLeast"/>
        <w:jc w:val="both"/>
        <w:rPr>
          <w:rFonts w:ascii="Arial" w:hAnsi="Arial" w:cs="Arial"/>
          <w:sz w:val="16"/>
          <w:szCs w:val="18"/>
          <w:lang w:val="en-US"/>
        </w:rPr>
      </w:pPr>
      <w:r w:rsidRPr="00056480">
        <w:rPr>
          <w:rFonts w:ascii="Arial" w:hAnsi="Arial" w:cs="Arial"/>
          <w:sz w:val="16"/>
          <w:szCs w:val="18"/>
          <w:lang w:val="en-US"/>
        </w:rPr>
        <w:t>tel. 608 529 504</w:t>
      </w:r>
    </w:p>
    <w:p w14:paraId="3D1BE63C" w14:textId="7A8160FC" w:rsidR="00056480" w:rsidRPr="00056480" w:rsidRDefault="005370BF" w:rsidP="00056480">
      <w:pPr>
        <w:spacing w:after="0" w:line="100" w:lineRule="atLeast"/>
        <w:jc w:val="both"/>
        <w:rPr>
          <w:rFonts w:ascii="Arial" w:hAnsi="Arial" w:cs="Arial"/>
          <w:sz w:val="16"/>
          <w:szCs w:val="18"/>
          <w:lang w:val="en-US"/>
        </w:rPr>
      </w:pPr>
      <w:r>
        <w:rPr>
          <w:rFonts w:ascii="Arial" w:hAnsi="Arial" w:cs="Arial"/>
          <w:sz w:val="16"/>
          <w:szCs w:val="18"/>
          <w:lang w:val="en-US"/>
        </w:rPr>
        <w:t>E</w:t>
      </w:r>
      <w:r w:rsidR="00056480" w:rsidRPr="00056480">
        <w:rPr>
          <w:rFonts w:ascii="Arial" w:hAnsi="Arial" w:cs="Arial"/>
          <w:sz w:val="16"/>
          <w:szCs w:val="18"/>
          <w:lang w:val="en-US"/>
        </w:rPr>
        <w:t>:</w:t>
      </w:r>
      <w:r>
        <w:rPr>
          <w:rFonts w:ascii="Arial" w:hAnsi="Arial" w:cs="Arial"/>
          <w:sz w:val="16"/>
          <w:szCs w:val="18"/>
          <w:lang w:val="en-US"/>
        </w:rPr>
        <w:t xml:space="preserve"> miroslaw.kasprzak@bcc.pl</w:t>
      </w:r>
      <w:r w:rsidRPr="00056480">
        <w:rPr>
          <w:rFonts w:ascii="Arial" w:hAnsi="Arial" w:cs="Arial"/>
          <w:sz w:val="16"/>
          <w:szCs w:val="18"/>
          <w:lang w:val="en-US"/>
        </w:rPr>
        <w:t xml:space="preserve"> </w:t>
      </w:r>
    </w:p>
    <w:p w14:paraId="0BB156BC" w14:textId="77777777" w:rsidR="00793AFD" w:rsidRPr="00056480" w:rsidRDefault="00793AFD" w:rsidP="00793AFD">
      <w:pPr>
        <w:spacing w:after="0" w:line="100" w:lineRule="atLeast"/>
        <w:jc w:val="both"/>
        <w:rPr>
          <w:rFonts w:ascii="Arial" w:hAnsi="Arial" w:cs="Arial"/>
          <w:b/>
          <w:bCs/>
          <w:sz w:val="16"/>
          <w:szCs w:val="18"/>
          <w:u w:val="single"/>
          <w:lang w:val="en-US"/>
        </w:rPr>
      </w:pPr>
    </w:p>
    <w:p w14:paraId="2F91A360" w14:textId="77777777" w:rsidR="00D81796" w:rsidRPr="00342A87" w:rsidRDefault="00342A87" w:rsidP="00342A87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4"/>
          <w:szCs w:val="16"/>
        </w:rPr>
      </w:pPr>
      <w:r w:rsidRPr="00342A87">
        <w:rPr>
          <w:rFonts w:ascii="Calibri" w:eastAsia="Calibri" w:hAnsi="Calibri" w:cs="Calibri"/>
          <w:b/>
          <w:i/>
          <w:color w:val="808080"/>
          <w:sz w:val="14"/>
          <w:szCs w:val="16"/>
        </w:rPr>
        <w:t>Gospodarczy Gabinet Cieni Business Centre Club</w:t>
      </w:r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 xml:space="preserve"> to think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9" w:history="1">
        <w:r w:rsidRPr="00342A87">
          <w:rPr>
            <w:rFonts w:ascii="Calibri" w:eastAsia="Calibri" w:hAnsi="Calibri" w:cs="Calibri"/>
            <w:i/>
            <w:color w:val="0000FF"/>
            <w:sz w:val="14"/>
            <w:szCs w:val="16"/>
            <w:u w:val="single"/>
          </w:rPr>
          <w:t>http://www.bcc.org.pl/Gospodarczy-Gabinet-Cieni.4241.0.html</w:t>
        </w:r>
      </w:hyperlink>
    </w:p>
    <w:sectPr w:rsidR="00D81796" w:rsidRPr="00342A87" w:rsidSect="00793AFD">
      <w:footerReference w:type="default" r:id="rId10"/>
      <w:pgSz w:w="11906" w:h="16838"/>
      <w:pgMar w:top="1135" w:right="1417" w:bottom="99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19C0" w14:textId="77777777" w:rsidR="00A61563" w:rsidRDefault="00A61563">
      <w:pPr>
        <w:spacing w:after="0" w:line="240" w:lineRule="auto"/>
      </w:pPr>
      <w:r>
        <w:separator/>
      </w:r>
    </w:p>
  </w:endnote>
  <w:endnote w:type="continuationSeparator" w:id="0">
    <w:p w14:paraId="4362FEE1" w14:textId="77777777" w:rsidR="00A61563" w:rsidRDefault="00A6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C614" w14:textId="1F78E7EE" w:rsidR="00B453A4" w:rsidRPr="009B7B9C" w:rsidRDefault="000F6A44" w:rsidP="0079671E">
    <w:pPr>
      <w:pStyle w:val="Stopka"/>
      <w:rPr>
        <w:sz w:val="18"/>
      </w:rPr>
    </w:pPr>
    <w:r>
      <w:rPr>
        <w:sz w:val="16"/>
        <w:szCs w:val="18"/>
      </w:rPr>
      <w:t>Gosp</w:t>
    </w:r>
    <w:r w:rsidR="00DA308F">
      <w:rPr>
        <w:sz w:val="16"/>
        <w:szCs w:val="18"/>
      </w:rPr>
      <w:t>odarczy Gabinet Cieni BCC – XXX</w:t>
    </w:r>
    <w:r w:rsidR="000F1933">
      <w:rPr>
        <w:sz w:val="16"/>
        <w:szCs w:val="18"/>
      </w:rPr>
      <w:t>V</w:t>
    </w:r>
    <w:r w:rsidR="008E6F63">
      <w:rPr>
        <w:sz w:val="16"/>
        <w:szCs w:val="18"/>
      </w:rPr>
      <w:t>I</w:t>
    </w:r>
    <w:r w:rsidR="00BF3B74">
      <w:rPr>
        <w:sz w:val="16"/>
        <w:szCs w:val="18"/>
      </w:rPr>
      <w:t>I</w:t>
    </w:r>
    <w:r w:rsidR="00C03C65">
      <w:rPr>
        <w:sz w:val="16"/>
        <w:szCs w:val="18"/>
      </w:rPr>
      <w:t>I</w:t>
    </w:r>
    <w:r w:rsidR="00BF3B74">
      <w:rPr>
        <w:sz w:val="16"/>
        <w:szCs w:val="18"/>
      </w:rPr>
      <w:t xml:space="preserve"> Raport kwartalny –</w:t>
    </w:r>
    <w:r w:rsidR="00C03C65">
      <w:rPr>
        <w:sz w:val="16"/>
        <w:szCs w:val="18"/>
      </w:rPr>
      <w:t>14</w:t>
    </w:r>
    <w:r w:rsidRPr="009B7B9C">
      <w:rPr>
        <w:sz w:val="16"/>
        <w:szCs w:val="18"/>
      </w:rPr>
      <w:t>.</w:t>
    </w:r>
    <w:r w:rsidR="00C03C65">
      <w:rPr>
        <w:sz w:val="16"/>
        <w:szCs w:val="18"/>
      </w:rPr>
      <w:t>10</w:t>
    </w:r>
    <w:r w:rsidRPr="009B7B9C">
      <w:rPr>
        <w:sz w:val="16"/>
        <w:szCs w:val="18"/>
      </w:rPr>
      <w:t>.20</w:t>
    </w:r>
    <w:r>
      <w:rPr>
        <w:sz w:val="16"/>
        <w:szCs w:val="18"/>
      </w:rPr>
      <w:t>2</w:t>
    </w:r>
    <w:r w:rsidR="008E6F63">
      <w:rPr>
        <w:sz w:val="16"/>
        <w:szCs w:val="18"/>
      </w:rPr>
      <w:t>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AA20CF">
      <w:rPr>
        <w:noProof/>
        <w:sz w:val="18"/>
      </w:rPr>
      <w:t>2</w:t>
    </w:r>
    <w:r w:rsidRPr="009B7B9C">
      <w:rPr>
        <w:sz w:val="18"/>
      </w:rPr>
      <w:fldChar w:fldCharType="end"/>
    </w:r>
  </w:p>
  <w:p w14:paraId="5405EC91" w14:textId="77777777" w:rsidR="00B453A4" w:rsidRDefault="00A615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A7DA" w14:textId="77777777" w:rsidR="00A61563" w:rsidRDefault="00A61563">
      <w:pPr>
        <w:spacing w:after="0" w:line="240" w:lineRule="auto"/>
      </w:pPr>
      <w:r>
        <w:separator/>
      </w:r>
    </w:p>
  </w:footnote>
  <w:footnote w:type="continuationSeparator" w:id="0">
    <w:p w14:paraId="5B75545C" w14:textId="77777777" w:rsidR="00A61563" w:rsidRDefault="00A6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81"/>
    <w:multiLevelType w:val="hybridMultilevel"/>
    <w:tmpl w:val="75D0441E"/>
    <w:lvl w:ilvl="0" w:tplc="9C60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DEE"/>
    <w:multiLevelType w:val="hybridMultilevel"/>
    <w:tmpl w:val="F0742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094E"/>
    <w:multiLevelType w:val="hybridMultilevel"/>
    <w:tmpl w:val="238284AE"/>
    <w:lvl w:ilvl="0" w:tplc="6E9A65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58A"/>
    <w:multiLevelType w:val="hybridMultilevel"/>
    <w:tmpl w:val="2C869840"/>
    <w:lvl w:ilvl="0" w:tplc="A3F46976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9C31265"/>
    <w:multiLevelType w:val="hybridMultilevel"/>
    <w:tmpl w:val="E078F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A0190"/>
    <w:multiLevelType w:val="hybridMultilevel"/>
    <w:tmpl w:val="4EBA8BCE"/>
    <w:lvl w:ilvl="0" w:tplc="F412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6AC5"/>
    <w:multiLevelType w:val="hybridMultilevel"/>
    <w:tmpl w:val="7A8CEEAA"/>
    <w:lvl w:ilvl="0" w:tplc="A2063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41C0"/>
    <w:multiLevelType w:val="hybridMultilevel"/>
    <w:tmpl w:val="A3D6B440"/>
    <w:lvl w:ilvl="0" w:tplc="8D08D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7E0D"/>
    <w:multiLevelType w:val="hybridMultilevel"/>
    <w:tmpl w:val="13EED0C0"/>
    <w:lvl w:ilvl="0" w:tplc="144A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B1913"/>
    <w:multiLevelType w:val="hybridMultilevel"/>
    <w:tmpl w:val="8DFECE30"/>
    <w:lvl w:ilvl="0" w:tplc="BB625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83E7D"/>
    <w:multiLevelType w:val="hybridMultilevel"/>
    <w:tmpl w:val="D65657C4"/>
    <w:lvl w:ilvl="0" w:tplc="4B4C0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F3A97"/>
    <w:multiLevelType w:val="hybridMultilevel"/>
    <w:tmpl w:val="05FA8A7A"/>
    <w:lvl w:ilvl="0" w:tplc="8D08D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17A0B"/>
    <w:multiLevelType w:val="hybridMultilevel"/>
    <w:tmpl w:val="940C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74506"/>
    <w:multiLevelType w:val="hybridMultilevel"/>
    <w:tmpl w:val="2FE254F6"/>
    <w:lvl w:ilvl="0" w:tplc="EDA8F0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2F5640"/>
    <w:multiLevelType w:val="hybridMultilevel"/>
    <w:tmpl w:val="03C85612"/>
    <w:lvl w:ilvl="0" w:tplc="8AE4C9E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74B57"/>
    <w:multiLevelType w:val="hybridMultilevel"/>
    <w:tmpl w:val="EC3C3AAE"/>
    <w:lvl w:ilvl="0" w:tplc="8B524F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C0910"/>
    <w:multiLevelType w:val="hybridMultilevel"/>
    <w:tmpl w:val="973657D4"/>
    <w:lvl w:ilvl="0" w:tplc="8D08D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8379A"/>
    <w:multiLevelType w:val="hybridMultilevel"/>
    <w:tmpl w:val="0BAE5174"/>
    <w:lvl w:ilvl="0" w:tplc="156C14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B281B62"/>
    <w:multiLevelType w:val="hybridMultilevel"/>
    <w:tmpl w:val="F480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96BF54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279E"/>
    <w:multiLevelType w:val="hybridMultilevel"/>
    <w:tmpl w:val="6BBA5B82"/>
    <w:lvl w:ilvl="0" w:tplc="FC42350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4692721"/>
    <w:multiLevelType w:val="hybridMultilevel"/>
    <w:tmpl w:val="9734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2781B"/>
    <w:multiLevelType w:val="hybridMultilevel"/>
    <w:tmpl w:val="8BDAB5BE"/>
    <w:lvl w:ilvl="0" w:tplc="A9384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267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F274BDF"/>
    <w:multiLevelType w:val="hybridMultilevel"/>
    <w:tmpl w:val="D328463A"/>
    <w:lvl w:ilvl="0" w:tplc="858CD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21"/>
  </w:num>
  <w:num w:numId="5">
    <w:abstractNumId w:val="5"/>
  </w:num>
  <w:num w:numId="6">
    <w:abstractNumId w:val="19"/>
  </w:num>
  <w:num w:numId="7">
    <w:abstractNumId w:val="8"/>
  </w:num>
  <w:num w:numId="8">
    <w:abstractNumId w:val="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9"/>
  </w:num>
  <w:num w:numId="13">
    <w:abstractNumId w:val="10"/>
  </w:num>
  <w:num w:numId="14">
    <w:abstractNumId w:val="17"/>
  </w:num>
  <w:num w:numId="15">
    <w:abstractNumId w:val="18"/>
  </w:num>
  <w:num w:numId="16">
    <w:abstractNumId w:val="20"/>
  </w:num>
  <w:num w:numId="17">
    <w:abstractNumId w:val="22"/>
  </w:num>
  <w:num w:numId="18">
    <w:abstractNumId w:val="7"/>
  </w:num>
  <w:num w:numId="19">
    <w:abstractNumId w:val="16"/>
  </w:num>
  <w:num w:numId="20">
    <w:abstractNumId w:val="11"/>
  </w:num>
  <w:num w:numId="21">
    <w:abstractNumId w:val="1"/>
  </w:num>
  <w:num w:numId="22">
    <w:abstractNumId w:val="3"/>
  </w:num>
  <w:num w:numId="23">
    <w:abstractNumId w:val="4"/>
  </w:num>
  <w:num w:numId="24">
    <w:abstractNumId w:val="14"/>
  </w:num>
  <w:num w:numId="25">
    <w:abstractNumId w:val="2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87"/>
    <w:rsid w:val="00056480"/>
    <w:rsid w:val="000F1933"/>
    <w:rsid w:val="000F6A44"/>
    <w:rsid w:val="00106344"/>
    <w:rsid w:val="0013564F"/>
    <w:rsid w:val="00167FED"/>
    <w:rsid w:val="001868F5"/>
    <w:rsid w:val="00191F92"/>
    <w:rsid w:val="002374FB"/>
    <w:rsid w:val="0027385E"/>
    <w:rsid w:val="00283B96"/>
    <w:rsid w:val="002C6459"/>
    <w:rsid w:val="0030719F"/>
    <w:rsid w:val="00342A87"/>
    <w:rsid w:val="00361509"/>
    <w:rsid w:val="003A24B7"/>
    <w:rsid w:val="003B0F6A"/>
    <w:rsid w:val="003D7F8F"/>
    <w:rsid w:val="003E7478"/>
    <w:rsid w:val="004034B8"/>
    <w:rsid w:val="00405E46"/>
    <w:rsid w:val="00442186"/>
    <w:rsid w:val="00470F02"/>
    <w:rsid w:val="00480629"/>
    <w:rsid w:val="00481D83"/>
    <w:rsid w:val="004C3F00"/>
    <w:rsid w:val="00506CC8"/>
    <w:rsid w:val="00534AC1"/>
    <w:rsid w:val="005370BF"/>
    <w:rsid w:val="00550AAA"/>
    <w:rsid w:val="00577B91"/>
    <w:rsid w:val="005A173B"/>
    <w:rsid w:val="005F106E"/>
    <w:rsid w:val="006112B2"/>
    <w:rsid w:val="00694308"/>
    <w:rsid w:val="006A4707"/>
    <w:rsid w:val="006B44E0"/>
    <w:rsid w:val="006E2D02"/>
    <w:rsid w:val="00772113"/>
    <w:rsid w:val="00793AFD"/>
    <w:rsid w:val="007A7DD9"/>
    <w:rsid w:val="007F1637"/>
    <w:rsid w:val="00811F90"/>
    <w:rsid w:val="00844F1E"/>
    <w:rsid w:val="0086776B"/>
    <w:rsid w:val="00892D4D"/>
    <w:rsid w:val="008C11E6"/>
    <w:rsid w:val="008D6BF2"/>
    <w:rsid w:val="008E6F63"/>
    <w:rsid w:val="008F3799"/>
    <w:rsid w:val="009207D2"/>
    <w:rsid w:val="00970162"/>
    <w:rsid w:val="00980411"/>
    <w:rsid w:val="00984E13"/>
    <w:rsid w:val="009C4976"/>
    <w:rsid w:val="00A61563"/>
    <w:rsid w:val="00A86E3C"/>
    <w:rsid w:val="00AA20CF"/>
    <w:rsid w:val="00AA6E02"/>
    <w:rsid w:val="00B10102"/>
    <w:rsid w:val="00B267A1"/>
    <w:rsid w:val="00B32CC8"/>
    <w:rsid w:val="00BD3DAA"/>
    <w:rsid w:val="00BD53A4"/>
    <w:rsid w:val="00BE1A5E"/>
    <w:rsid w:val="00BE66D2"/>
    <w:rsid w:val="00BF3B74"/>
    <w:rsid w:val="00C03C65"/>
    <w:rsid w:val="00C32E6E"/>
    <w:rsid w:val="00C66C4C"/>
    <w:rsid w:val="00CF32D4"/>
    <w:rsid w:val="00D175A8"/>
    <w:rsid w:val="00D54C8D"/>
    <w:rsid w:val="00D66F30"/>
    <w:rsid w:val="00D81796"/>
    <w:rsid w:val="00DA308F"/>
    <w:rsid w:val="00E35E54"/>
    <w:rsid w:val="00E37697"/>
    <w:rsid w:val="00E42D57"/>
    <w:rsid w:val="00E8219A"/>
    <w:rsid w:val="00EE1EB9"/>
    <w:rsid w:val="00F056CA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8C46F"/>
  <w15:docId w15:val="{539FB577-9DD6-864E-AF41-1C9A8022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2D4"/>
  </w:style>
  <w:style w:type="paragraph" w:styleId="Nagwek1">
    <w:name w:val="heading 1"/>
    <w:aliases w:val="h1,new page/chapter"/>
    <w:basedOn w:val="Normalny"/>
    <w:next w:val="Normalny"/>
    <w:link w:val="Nagwek1Znak"/>
    <w:qFormat/>
    <w:rsid w:val="00F64564"/>
    <w:pPr>
      <w:keepNext/>
      <w:keepLines/>
      <w:numPr>
        <w:numId w:val="1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4564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4564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564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64564"/>
    <w:pPr>
      <w:numPr>
        <w:ilvl w:val="4"/>
        <w:numId w:val="17"/>
      </w:numPr>
      <w:spacing w:before="280" w:after="240" w:line="252" w:lineRule="auto"/>
      <w:outlineLvl w:val="4"/>
    </w:pPr>
    <w:rPr>
      <w:rFonts w:asciiTheme="majorHAnsi" w:eastAsia="Calibri" w:hAnsiTheme="majorHAnsi" w:cs="Times New Roman"/>
      <w:smallCaps/>
      <w:color w:val="808080" w:themeColor="background1" w:themeShade="80"/>
      <w:spacing w:val="10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564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564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564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564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342A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933"/>
  </w:style>
  <w:style w:type="character" w:customStyle="1" w:styleId="Nagwek1Znak">
    <w:name w:val="Nagłówek 1 Znak"/>
    <w:aliases w:val="h1 Znak,new page/chapter Znak"/>
    <w:basedOn w:val="Domylnaczcionkaakapitu"/>
    <w:link w:val="Nagwek1"/>
    <w:rsid w:val="00F64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4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5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5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rsid w:val="00F64564"/>
    <w:rPr>
      <w:rFonts w:asciiTheme="majorHAnsi" w:eastAsia="Calibri" w:hAnsiTheme="majorHAnsi" w:cs="Times New Roman"/>
      <w:smallCaps/>
      <w:color w:val="808080" w:themeColor="background1" w:themeShade="80"/>
      <w:spacing w:val="1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5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5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5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5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64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480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16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cc.org.pl/Gospodarczy-Gabinet-Cieni.4241.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Mirosław Kasprzak</cp:lastModifiedBy>
  <cp:revision>3</cp:revision>
  <cp:lastPrinted>2021-07-13T08:24:00Z</cp:lastPrinted>
  <dcterms:created xsi:type="dcterms:W3CDTF">2021-10-21T21:30:00Z</dcterms:created>
  <dcterms:modified xsi:type="dcterms:W3CDTF">2021-10-21T21:31:00Z</dcterms:modified>
</cp:coreProperties>
</file>