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53F2" w14:textId="77777777" w:rsidR="00342A87" w:rsidRPr="00342A87" w:rsidRDefault="00342A87" w:rsidP="00342A87">
      <w:pPr>
        <w:spacing w:after="0" w:line="240" w:lineRule="auto"/>
        <w:jc w:val="center"/>
        <w:rPr>
          <w:rFonts w:ascii="Calibri" w:eastAsia="Calibri" w:hAnsi="Calibri" w:cs="Times New Roman"/>
          <w:sz w:val="2"/>
          <w:szCs w:val="2"/>
        </w:rPr>
      </w:pPr>
      <w:r w:rsidRPr="00342A87">
        <w:rPr>
          <w:rFonts w:ascii="Calibri" w:eastAsia="Calibri" w:hAnsi="Calibri" w:cs="Times New Roman"/>
          <w:noProof/>
          <w:sz w:val="2"/>
          <w:szCs w:val="2"/>
          <w:lang w:eastAsia="pl-PL"/>
        </w:rPr>
        <w:drawing>
          <wp:inline distT="0" distB="0" distL="0" distR="0" wp14:anchorId="6A8FFC76" wp14:editId="30D5233E">
            <wp:extent cx="2238375" cy="1857375"/>
            <wp:effectExtent l="0" t="0" r="9525" b="0"/>
            <wp:docPr id="1" name="Obraz 1" descr="0c428292-28c0-4f74-b347-08cf9b51f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c428292-28c0-4f74-b347-08cf9b51f9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A33F8" w14:textId="77777777" w:rsidR="00342A87" w:rsidRPr="00342A87" w:rsidRDefault="00342A87" w:rsidP="00342A8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10"/>
        </w:rPr>
      </w:pPr>
    </w:p>
    <w:p w14:paraId="1FA88EC2" w14:textId="58224960" w:rsidR="00342A87" w:rsidRPr="00342A87" w:rsidRDefault="00342A87" w:rsidP="00342A87">
      <w:pPr>
        <w:tabs>
          <w:tab w:val="left" w:pos="0"/>
          <w:tab w:val="left" w:pos="8647"/>
          <w:tab w:val="left" w:pos="9072"/>
        </w:tabs>
        <w:spacing w:after="120" w:line="360" w:lineRule="auto"/>
        <w:jc w:val="right"/>
        <w:rPr>
          <w:rFonts w:ascii="Arial" w:eastAsia="Times New Roman" w:hAnsi="Arial" w:cs="Times New Roman"/>
          <w:sz w:val="18"/>
          <w:szCs w:val="20"/>
          <w:lang w:val="x-none" w:eastAsia="x-none"/>
        </w:rPr>
      </w:pPr>
      <w:r w:rsidRPr="00342A87">
        <w:rPr>
          <w:rFonts w:ascii="Arial" w:eastAsia="Times New Roman" w:hAnsi="Arial" w:cs="Times New Roman"/>
          <w:sz w:val="18"/>
          <w:szCs w:val="20"/>
          <w:lang w:val="x-none" w:eastAsia="x-none"/>
        </w:rPr>
        <w:t xml:space="preserve">Warszawa, </w:t>
      </w:r>
      <w:r w:rsidR="00032FCE">
        <w:rPr>
          <w:rFonts w:ascii="Arial" w:eastAsia="Times New Roman" w:hAnsi="Arial" w:cs="Times New Roman"/>
          <w:sz w:val="18"/>
          <w:szCs w:val="20"/>
          <w:lang w:eastAsia="x-none"/>
        </w:rPr>
        <w:t>25 października</w:t>
      </w:r>
      <w:r w:rsidRPr="00342A87">
        <w:rPr>
          <w:rFonts w:ascii="Arial" w:eastAsia="Times New Roman" w:hAnsi="Arial" w:cs="Times New Roman"/>
          <w:sz w:val="18"/>
          <w:szCs w:val="20"/>
          <w:lang w:eastAsia="x-none"/>
        </w:rPr>
        <w:t xml:space="preserve"> 2</w:t>
      </w:r>
      <w:r w:rsidRPr="00342A87">
        <w:rPr>
          <w:rFonts w:ascii="Arial" w:eastAsia="Times New Roman" w:hAnsi="Arial" w:cs="Times New Roman"/>
          <w:sz w:val="18"/>
          <w:szCs w:val="20"/>
          <w:lang w:val="x-none" w:eastAsia="x-none"/>
        </w:rPr>
        <w:t>0</w:t>
      </w:r>
      <w:r w:rsidRPr="00342A87">
        <w:rPr>
          <w:rFonts w:ascii="Arial" w:eastAsia="Times New Roman" w:hAnsi="Arial" w:cs="Times New Roman"/>
          <w:sz w:val="18"/>
          <w:szCs w:val="20"/>
          <w:lang w:eastAsia="x-none"/>
        </w:rPr>
        <w:t>2</w:t>
      </w:r>
      <w:r w:rsidR="000809F8">
        <w:rPr>
          <w:rFonts w:ascii="Arial" w:eastAsia="Times New Roman" w:hAnsi="Arial" w:cs="Times New Roman"/>
          <w:sz w:val="18"/>
          <w:szCs w:val="20"/>
          <w:lang w:eastAsia="x-none"/>
        </w:rPr>
        <w:t>1</w:t>
      </w:r>
      <w:r w:rsidRPr="00342A87">
        <w:rPr>
          <w:rFonts w:ascii="Arial" w:eastAsia="Times New Roman" w:hAnsi="Arial" w:cs="Times New Roman"/>
          <w:sz w:val="18"/>
          <w:szCs w:val="20"/>
          <w:lang w:val="x-none" w:eastAsia="x-none"/>
        </w:rPr>
        <w:t xml:space="preserve"> r.</w:t>
      </w:r>
    </w:p>
    <w:p w14:paraId="20795DE7" w14:textId="77777777" w:rsidR="00342A87" w:rsidRPr="008670C0" w:rsidRDefault="00342A87" w:rsidP="00342A8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0"/>
          <w:tab w:val="left" w:pos="8647"/>
          <w:tab w:val="lef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color w:val="003366"/>
          <w:sz w:val="44"/>
          <w:szCs w:val="48"/>
          <w:lang w:val="x-none" w:eastAsia="x-none"/>
        </w:rPr>
      </w:pPr>
      <w:r w:rsidRPr="008670C0">
        <w:rPr>
          <w:rFonts w:ascii="Times New Roman" w:eastAsia="Times New Roman" w:hAnsi="Times New Roman" w:cs="Times New Roman"/>
          <w:b/>
          <w:bCs/>
          <w:smallCaps/>
          <w:color w:val="003366"/>
          <w:sz w:val="44"/>
          <w:szCs w:val="48"/>
          <w:lang w:eastAsia="x-none"/>
        </w:rPr>
        <w:t xml:space="preserve">RAPORT: </w:t>
      </w:r>
      <w:r w:rsidR="00D14852">
        <w:rPr>
          <w:rFonts w:ascii="Times New Roman" w:eastAsia="Times New Roman" w:hAnsi="Times New Roman" w:cs="Times New Roman"/>
          <w:b/>
          <w:bCs/>
          <w:smallCaps/>
          <w:color w:val="003366"/>
          <w:sz w:val="44"/>
          <w:szCs w:val="48"/>
          <w:lang w:eastAsia="x-none"/>
        </w:rPr>
        <w:t>Pr</w:t>
      </w:r>
      <w:r w:rsidR="00476933">
        <w:rPr>
          <w:rFonts w:ascii="Times New Roman" w:eastAsia="Times New Roman" w:hAnsi="Times New Roman" w:cs="Times New Roman"/>
          <w:b/>
          <w:bCs/>
          <w:smallCaps/>
          <w:color w:val="003366"/>
          <w:sz w:val="44"/>
          <w:szCs w:val="48"/>
          <w:lang w:eastAsia="x-none"/>
        </w:rPr>
        <w:t>awo Gospodarcze</w:t>
      </w:r>
    </w:p>
    <w:p w14:paraId="6B142DF3" w14:textId="77777777" w:rsidR="00476933" w:rsidRDefault="00476933" w:rsidP="00476933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0033A49D" w14:textId="77777777" w:rsidR="00476933" w:rsidRDefault="00476933" w:rsidP="00476933">
      <w:pPr>
        <w:spacing w:after="0" w:line="240" w:lineRule="auto"/>
        <w:jc w:val="both"/>
        <w:rPr>
          <w:b/>
          <w:sz w:val="16"/>
          <w:szCs w:val="16"/>
        </w:rPr>
      </w:pPr>
    </w:p>
    <w:p w14:paraId="583ECCB6" w14:textId="77777777" w:rsidR="00476933" w:rsidRDefault="00476933" w:rsidP="00476933">
      <w:pPr>
        <w:spacing w:after="0" w:line="240" w:lineRule="auto"/>
        <w:jc w:val="both"/>
        <w:rPr>
          <w:b/>
          <w:sz w:val="16"/>
          <w:szCs w:val="16"/>
        </w:rPr>
      </w:pPr>
    </w:p>
    <w:p w14:paraId="7C404C5D" w14:textId="77777777" w:rsidR="00476933" w:rsidRPr="00DA29F4" w:rsidRDefault="00476933" w:rsidP="00476933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8172"/>
      </w:tblGrid>
      <w:tr w:rsidR="00476933" w:rsidRPr="00F21FC5" w14:paraId="4312EC59" w14:textId="77777777" w:rsidTr="00976E2D">
        <w:tc>
          <w:tcPr>
            <w:tcW w:w="900" w:type="dxa"/>
          </w:tcPr>
          <w:p w14:paraId="49BE89BD" w14:textId="77777777" w:rsidR="00476933" w:rsidRPr="00F21FC5" w:rsidRDefault="00476933" w:rsidP="00976E2D">
            <w:pPr>
              <w:spacing w:after="0" w:line="240" w:lineRule="auto"/>
              <w:jc w:val="right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BB5DC55" wp14:editId="0AD2AEC8">
                  <wp:extent cx="612140" cy="779145"/>
                  <wp:effectExtent l="0" t="0" r="0" b="1905"/>
                  <wp:docPr id="5" name="Obraz 5" descr="D:\Dokumenty\BCC\LUDZIE BCC\Kalisz Ryszard\Kalisz Rysz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D:\Dokumenty\BCC\LUDZIE BCC\Kalisz Ryszard\Kalisz Rysz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</w:tcPr>
          <w:p w14:paraId="2DB6FE8A" w14:textId="77777777" w:rsidR="00476933" w:rsidRPr="00F21FC5" w:rsidRDefault="00476933" w:rsidP="00976E2D">
            <w:pPr>
              <w:spacing w:after="0" w:line="240" w:lineRule="auto"/>
              <w:jc w:val="both"/>
              <w:rPr>
                <w:rFonts w:ascii="Bookman Old Style" w:hAnsi="Bookman Old Style"/>
                <w:b/>
                <w:cap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aps/>
                <w:sz w:val="16"/>
                <w:szCs w:val="16"/>
              </w:rPr>
              <w:t>Ryszard Kalisz</w:t>
            </w:r>
          </w:p>
          <w:p w14:paraId="604FB6AB" w14:textId="77777777" w:rsidR="00476933" w:rsidRPr="00F21FC5" w:rsidRDefault="00476933" w:rsidP="00976E2D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F21FC5">
              <w:rPr>
                <w:rFonts w:ascii="Bookman Old Style" w:hAnsi="Bookman Old Style"/>
                <w:b/>
                <w:sz w:val="16"/>
                <w:szCs w:val="16"/>
              </w:rPr>
              <w:t xml:space="preserve">minister ds.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prawa gospodarczego w </w:t>
            </w:r>
            <w:r w:rsidRPr="00F21FC5">
              <w:rPr>
                <w:rFonts w:ascii="Bookman Old Style" w:hAnsi="Bookman Old Style"/>
                <w:b/>
                <w:sz w:val="16"/>
                <w:szCs w:val="16"/>
              </w:rPr>
              <w:t>Gospodarcz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ym Gabinecie </w:t>
            </w:r>
            <w:r w:rsidRPr="00F21FC5">
              <w:rPr>
                <w:rFonts w:ascii="Bookman Old Style" w:hAnsi="Bookman Old Style"/>
                <w:b/>
                <w:sz w:val="16"/>
                <w:szCs w:val="16"/>
              </w:rPr>
              <w:t>Cieni BCC</w:t>
            </w:r>
          </w:p>
          <w:p w14:paraId="6D1FA359" w14:textId="40B173BA" w:rsidR="00476933" w:rsidRDefault="00476933" w:rsidP="00976E2D">
            <w:pPr>
              <w:spacing w:after="0" w:line="240" w:lineRule="auto"/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  <w:r w:rsidRPr="00FE7195">
              <w:rPr>
                <w:rFonts w:ascii="Bookman Old Style" w:hAnsi="Bookman Old Style"/>
                <w:i/>
                <w:sz w:val="14"/>
                <w:szCs w:val="14"/>
              </w:rPr>
              <w:t xml:space="preserve">W latach 1987 – 2007 wykonywał zawód adwokata. Ekspert w obradach </w:t>
            </w:r>
            <w:r w:rsidR="00D1485C" w:rsidRPr="00FE7195">
              <w:rPr>
                <w:rFonts w:ascii="Bookman Old Style" w:hAnsi="Bookman Old Style"/>
                <w:i/>
                <w:sz w:val="14"/>
                <w:szCs w:val="14"/>
              </w:rPr>
              <w:t>„Okrągłego</w:t>
            </w:r>
            <w:r w:rsidRPr="00FE7195">
              <w:rPr>
                <w:rFonts w:ascii="Bookman Old Style" w:hAnsi="Bookman Old Style"/>
                <w:i/>
                <w:sz w:val="14"/>
                <w:szCs w:val="14"/>
              </w:rPr>
              <w:t xml:space="preserve"> Stołu” (1989), zastępca Przewodniczącego Trybunału Stanu (1993-1995), współtwórca przepisów Konstytucji RP z 2 kwietnia 1997</w:t>
            </w:r>
            <w:r>
              <w:rPr>
                <w:rFonts w:ascii="Bookman Old Style" w:hAnsi="Bookman Old Style"/>
                <w:i/>
                <w:sz w:val="14"/>
                <w:szCs w:val="14"/>
              </w:rPr>
              <w:t xml:space="preserve"> r.</w:t>
            </w:r>
            <w:r w:rsidRPr="00FE7195">
              <w:rPr>
                <w:rFonts w:ascii="Bookman Old Style" w:hAnsi="Bookman Old Style"/>
                <w:i/>
                <w:sz w:val="14"/>
                <w:szCs w:val="14"/>
              </w:rPr>
              <w:t>, Sekretarz Stanu w Kancelarii Prezydenta RP (1997-2000</w:t>
            </w:r>
            <w:r>
              <w:rPr>
                <w:rFonts w:ascii="Bookman Old Style" w:hAnsi="Bookman Old Style"/>
                <w:i/>
                <w:sz w:val="14"/>
                <w:szCs w:val="14"/>
              </w:rPr>
              <w:t>), Szef Kancelarii Prezydenta (</w:t>
            </w:r>
            <w:r w:rsidRPr="00FE7195">
              <w:rPr>
                <w:rFonts w:ascii="Bookman Old Style" w:hAnsi="Bookman Old Style"/>
                <w:i/>
                <w:sz w:val="14"/>
                <w:szCs w:val="14"/>
              </w:rPr>
              <w:t>1998-2000), Członek Rady Bezpieczeństwa Narodowego (2000-2005), Minister Spraw We</w:t>
            </w:r>
            <w:r>
              <w:rPr>
                <w:rFonts w:ascii="Bookman Old Style" w:hAnsi="Bookman Old Style"/>
                <w:i/>
                <w:sz w:val="14"/>
                <w:szCs w:val="14"/>
              </w:rPr>
              <w:t>wnętrznych i Administracji RP (</w:t>
            </w:r>
            <w:r w:rsidRPr="00FE7195">
              <w:rPr>
                <w:rFonts w:ascii="Bookman Old Style" w:hAnsi="Bookman Old Style"/>
                <w:i/>
                <w:sz w:val="14"/>
                <w:szCs w:val="14"/>
              </w:rPr>
              <w:t xml:space="preserve">2004-2005). Poseł </w:t>
            </w:r>
            <w:r>
              <w:rPr>
                <w:rFonts w:ascii="Bookman Old Style" w:hAnsi="Bookman Old Style"/>
                <w:i/>
                <w:sz w:val="14"/>
                <w:szCs w:val="14"/>
              </w:rPr>
              <w:t>na Sejm IV, VI i VII kadencji (</w:t>
            </w:r>
            <w:r w:rsidRPr="00FE7195">
              <w:rPr>
                <w:rFonts w:ascii="Bookman Old Style" w:hAnsi="Bookman Old Style"/>
                <w:i/>
                <w:sz w:val="14"/>
                <w:szCs w:val="14"/>
              </w:rPr>
              <w:t>2001-2015).</w:t>
            </w:r>
          </w:p>
          <w:p w14:paraId="71CA7661" w14:textId="77777777" w:rsidR="00476933" w:rsidRPr="00F21FC5" w:rsidRDefault="00476933" w:rsidP="00976E2D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 w:rsidRPr="00F21FC5">
              <w:rPr>
                <w:rFonts w:ascii="Bookman Old Style" w:hAnsi="Bookman Old Style"/>
                <w:b/>
                <w:sz w:val="14"/>
                <w:szCs w:val="14"/>
              </w:rPr>
              <w:sym w:font="Wingdings 2" w:char="F027"/>
            </w:r>
            <w:r w:rsidRPr="00F21FC5">
              <w:rPr>
                <w:rFonts w:ascii="Bookman Old Style" w:hAnsi="Bookman Old Style"/>
                <w:b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601 884 411</w:t>
            </w:r>
            <w:r w:rsidRPr="00F21FC5">
              <w:rPr>
                <w:rFonts w:ascii="Bookman Old Style" w:hAnsi="Bookman Old Style"/>
                <w:b/>
                <w:sz w:val="14"/>
                <w:szCs w:val="14"/>
              </w:rPr>
              <w:t xml:space="preserve"> </w:t>
            </w:r>
            <w:r w:rsidRPr="00F21FC5">
              <w:rPr>
                <w:rFonts w:ascii="Bookman Old Style" w:hAnsi="Bookman Old Style"/>
                <w:b/>
                <w:sz w:val="14"/>
                <w:szCs w:val="14"/>
              </w:rPr>
              <w:sym w:font="Wingdings" w:char="F02A"/>
            </w:r>
            <w:r w:rsidRPr="00F21FC5">
              <w:rPr>
                <w:rFonts w:ascii="Bookman Old Style" w:hAnsi="Bookman Old Style"/>
                <w:b/>
                <w:sz w:val="14"/>
                <w:szCs w:val="14"/>
              </w:rPr>
              <w:t xml:space="preserve"> </w:t>
            </w:r>
            <w:r w:rsidRPr="00EE19FF">
              <w:rPr>
                <w:rFonts w:ascii="Bookman Old Style" w:hAnsi="Bookman Old Style"/>
                <w:b/>
                <w:sz w:val="14"/>
                <w:szCs w:val="14"/>
              </w:rPr>
              <w:t>ryszard.kalisz@bcc.org.pl</w:t>
            </w:r>
          </w:p>
          <w:p w14:paraId="7F2C5A8D" w14:textId="77777777" w:rsidR="00476933" w:rsidRPr="00F21FC5" w:rsidRDefault="00476933" w:rsidP="00976E2D">
            <w:pPr>
              <w:spacing w:after="0" w:line="240" w:lineRule="auto"/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  <w:p w14:paraId="639AC20A" w14:textId="77777777" w:rsidR="00476933" w:rsidRPr="00F21FC5" w:rsidRDefault="00476933" w:rsidP="00976E2D">
            <w:pPr>
              <w:spacing w:after="0" w:line="240" w:lineRule="auto"/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</w:tr>
    </w:tbl>
    <w:p w14:paraId="4801EFB1" w14:textId="77777777" w:rsidR="00476933" w:rsidRDefault="00476933" w:rsidP="000809F8">
      <w:pPr>
        <w:spacing w:after="0"/>
        <w:rPr>
          <w:rFonts w:ascii="Arial" w:hAnsi="Arial" w:cs="Arial"/>
          <w:b/>
          <w:bCs/>
          <w:sz w:val="20"/>
        </w:rPr>
      </w:pPr>
    </w:p>
    <w:p w14:paraId="0D553F95" w14:textId="77777777" w:rsidR="000809F8" w:rsidRPr="00D0248D" w:rsidRDefault="000809F8" w:rsidP="000809F8">
      <w:pPr>
        <w:spacing w:after="0"/>
        <w:rPr>
          <w:rFonts w:ascii="Arial" w:hAnsi="Arial" w:cs="Arial"/>
          <w:sz w:val="14"/>
          <w:szCs w:val="16"/>
        </w:rPr>
      </w:pPr>
      <w:r w:rsidRPr="00D0248D">
        <w:rPr>
          <w:rFonts w:ascii="Arial" w:hAnsi="Arial" w:cs="Arial"/>
          <w:b/>
          <w:bCs/>
          <w:sz w:val="20"/>
        </w:rPr>
        <w:t>REKOMENDACJE DLA RZĄDU</w:t>
      </w:r>
    </w:p>
    <w:p w14:paraId="1A74E849" w14:textId="77777777" w:rsidR="000809F8" w:rsidRPr="00D0248D" w:rsidRDefault="000809F8" w:rsidP="000809F8">
      <w:pPr>
        <w:spacing w:after="0"/>
        <w:rPr>
          <w:rFonts w:ascii="Arial" w:hAnsi="Arial" w:cs="Arial"/>
          <w:sz w:val="18"/>
        </w:rPr>
      </w:pPr>
    </w:p>
    <w:p w14:paraId="3EDF9C98" w14:textId="77777777" w:rsidR="000809F8" w:rsidRPr="00D0248D" w:rsidRDefault="000809F8" w:rsidP="000809F8">
      <w:pPr>
        <w:spacing w:after="0"/>
        <w:rPr>
          <w:rFonts w:ascii="Arial" w:hAnsi="Arial" w:cs="Arial"/>
          <w:sz w:val="18"/>
          <w:szCs w:val="16"/>
        </w:rPr>
      </w:pPr>
    </w:p>
    <w:p w14:paraId="3ED76BB1" w14:textId="77777777" w:rsidR="00032FCE" w:rsidRPr="00D0248D" w:rsidRDefault="00032FCE" w:rsidP="00032FCE">
      <w:pPr>
        <w:pStyle w:val="Akapitzlist"/>
        <w:framePr w:hSpace="141" w:wrap="around" w:vAnchor="text" w:hAnchor="margin" w:y="118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248D">
        <w:rPr>
          <w:rFonts w:ascii="Arial" w:hAnsi="Arial" w:cs="Arial"/>
          <w:sz w:val="18"/>
          <w:szCs w:val="18"/>
        </w:rPr>
        <w:t>Należy jak najszybciej podjąć działania nakierowane na rozwiązanie sporu z Czechami dotyczącymi kopalni węgla brunatnego Turów, a co za tym idzie powstrzymać dalsze naliczanie kar nałożonych przez TSUE. Kwota, którą Polska musi zapłacić w związku z tym konfliktem przekroczyła już 10 mln euro. Sprawa jest jeszcze istotniejsza ze względu na stale pogarszające się relacje z UE.</w:t>
      </w:r>
    </w:p>
    <w:p w14:paraId="694B34A6" w14:textId="77777777" w:rsidR="00032FCE" w:rsidRPr="00D0248D" w:rsidRDefault="00032FCE" w:rsidP="00032FCE">
      <w:pPr>
        <w:framePr w:hSpace="141" w:wrap="around" w:vAnchor="text" w:hAnchor="margin" w:y="118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52FABDC" w14:textId="77777777" w:rsidR="00032FCE" w:rsidRPr="00D0248D" w:rsidRDefault="00032FCE" w:rsidP="00032FCE">
      <w:pPr>
        <w:framePr w:hSpace="141" w:wrap="around" w:vAnchor="text" w:hAnchor="margin" w:y="118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0E0CB73" w14:textId="77777777" w:rsidR="00032FCE" w:rsidRPr="00D0248D" w:rsidRDefault="00032FCE" w:rsidP="00032FCE">
      <w:pPr>
        <w:pStyle w:val="Akapitzlist"/>
        <w:framePr w:hSpace="141" w:wrap="around" w:vAnchor="text" w:hAnchor="margin" w:y="118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248D">
        <w:rPr>
          <w:rFonts w:ascii="Arial" w:hAnsi="Arial" w:cs="Arial"/>
          <w:sz w:val="18"/>
          <w:szCs w:val="18"/>
        </w:rPr>
        <w:t>Sprawę praworządności w Polsce należy potraktować priorytetowo, tym bardziej, że po wyroku Trybunału Konstytucyjnego z dnia 7 X 2021 (sygn. K 3/21), który stanowi o wyższości prawa krajowego nad unijnym, coraz częściej podnoszone są głosy o odebraniu unijnych funduszy.</w:t>
      </w:r>
    </w:p>
    <w:p w14:paraId="1AE9BAEB" w14:textId="77777777" w:rsidR="00032FCE" w:rsidRPr="00D0248D" w:rsidRDefault="00032FCE" w:rsidP="00032FCE">
      <w:pPr>
        <w:framePr w:hSpace="141" w:wrap="around" w:vAnchor="text" w:hAnchor="margin" w:y="118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3B48F6F" w14:textId="77777777" w:rsidR="00032FCE" w:rsidRPr="00D0248D" w:rsidRDefault="00032FCE" w:rsidP="00032FCE">
      <w:pPr>
        <w:framePr w:hSpace="141" w:wrap="around" w:vAnchor="text" w:hAnchor="margin" w:y="118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E195247" w14:textId="72A38FB4" w:rsidR="00D0248D" w:rsidRDefault="00032FCE" w:rsidP="00D0248D">
      <w:pPr>
        <w:pStyle w:val="Akapitzlist"/>
        <w:framePr w:hSpace="141" w:wrap="around" w:vAnchor="text" w:hAnchor="margin" w:y="118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248D">
        <w:rPr>
          <w:rFonts w:ascii="Arial" w:hAnsi="Arial" w:cs="Arial"/>
          <w:sz w:val="18"/>
          <w:szCs w:val="18"/>
        </w:rPr>
        <w:t>Wskazana jest zdecydowana reakcja rządu na ciągły wzrost cen energii, a co za tym idzie wzrost kosztów prowadzenia działalności gospodarczej. Jedną ze składowych wysokich cen są prawa do emisji CO2, co daje dodatkowy argument do przyśpieszenia procesu zielonej transformacji.</w:t>
      </w:r>
    </w:p>
    <w:p w14:paraId="239F9F1A" w14:textId="77777777" w:rsidR="00D0248D" w:rsidRDefault="00D0248D" w:rsidP="00D0248D">
      <w:pPr>
        <w:pStyle w:val="Akapitzlist"/>
        <w:framePr w:hSpace="141" w:wrap="around" w:vAnchor="text" w:hAnchor="margin" w:y="118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7F71F12" w14:textId="1B22DDB1" w:rsidR="00D0248D" w:rsidRPr="00D0248D" w:rsidRDefault="00D0248D" w:rsidP="00D0248D">
      <w:pPr>
        <w:pStyle w:val="Akapitzlist"/>
        <w:framePr w:hSpace="141" w:wrap="around" w:vAnchor="text" w:hAnchor="margin" w:y="118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248D">
        <w:rPr>
          <w:rFonts w:ascii="Arial" w:hAnsi="Arial" w:cs="Arial"/>
          <w:sz w:val="18"/>
          <w:szCs w:val="18"/>
        </w:rPr>
        <w:t>Należy zaprzestać łamania Konwencji Dotyczącej Statusu Uchodźców, a co za tym idzie natychmiastowo zacząć przestrzegać prawa człowieka, które swoje źródło czerpią w prawie natury, a dodatkowo uregulowane są m.in. w Powszechnej Deklaracji Praw Człowieka.</w:t>
      </w:r>
    </w:p>
    <w:p w14:paraId="45D45D23" w14:textId="77777777" w:rsidR="00032FCE" w:rsidRPr="00D0248D" w:rsidRDefault="00032FCE" w:rsidP="00032FCE">
      <w:pPr>
        <w:framePr w:hSpace="141" w:wrap="around" w:vAnchor="text" w:hAnchor="margin" w:y="118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F05E61F" w14:textId="77777777" w:rsidR="00032FCE" w:rsidRPr="00D0248D" w:rsidRDefault="00032FCE" w:rsidP="00032FCE">
      <w:pPr>
        <w:framePr w:hSpace="141" w:wrap="around" w:vAnchor="text" w:hAnchor="margin" w:y="118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928442D" w14:textId="77777777" w:rsidR="00476933" w:rsidRPr="00D0248D" w:rsidRDefault="00476933" w:rsidP="000809F8">
      <w:pPr>
        <w:spacing w:after="0"/>
        <w:rPr>
          <w:rFonts w:ascii="Arial" w:hAnsi="Arial" w:cs="Arial"/>
          <w:b/>
          <w:sz w:val="15"/>
          <w:szCs w:val="18"/>
        </w:rPr>
      </w:pPr>
    </w:p>
    <w:p w14:paraId="38CC279F" w14:textId="77777777" w:rsidR="00476933" w:rsidRPr="00D0248D" w:rsidRDefault="00476933" w:rsidP="000809F8">
      <w:pPr>
        <w:spacing w:after="0"/>
        <w:rPr>
          <w:rFonts w:ascii="Arial" w:hAnsi="Arial" w:cs="Arial"/>
          <w:b/>
          <w:sz w:val="20"/>
        </w:rPr>
      </w:pPr>
    </w:p>
    <w:p w14:paraId="0B18DE39" w14:textId="77777777" w:rsidR="000809F8" w:rsidRPr="00D0248D" w:rsidRDefault="000809F8" w:rsidP="000809F8">
      <w:pPr>
        <w:spacing w:after="0"/>
        <w:rPr>
          <w:rFonts w:ascii="Arial" w:hAnsi="Arial" w:cs="Arial"/>
          <w:b/>
          <w:sz w:val="20"/>
        </w:rPr>
      </w:pPr>
      <w:r w:rsidRPr="00D0248D">
        <w:rPr>
          <w:rFonts w:ascii="Arial" w:hAnsi="Arial" w:cs="Arial"/>
          <w:b/>
          <w:sz w:val="20"/>
        </w:rPr>
        <w:t>PODSUMOWANIE DOTYCHCZASOWYCH DZIAŁAŃ RZĄDU</w:t>
      </w:r>
    </w:p>
    <w:p w14:paraId="5411F3EB" w14:textId="77777777" w:rsidR="000809F8" w:rsidRPr="00D0248D" w:rsidRDefault="000809F8" w:rsidP="000809F8">
      <w:pPr>
        <w:spacing w:after="0"/>
        <w:rPr>
          <w:rFonts w:ascii="Arial" w:hAnsi="Arial" w:cs="Arial"/>
          <w:b/>
        </w:rPr>
      </w:pPr>
    </w:p>
    <w:p w14:paraId="4FC75596" w14:textId="3C1A9D04" w:rsidR="00364649" w:rsidRPr="00D0248D" w:rsidRDefault="00364649" w:rsidP="00364649">
      <w:pPr>
        <w:spacing w:after="0"/>
        <w:jc w:val="both"/>
        <w:rPr>
          <w:rFonts w:ascii="Arial" w:hAnsi="Arial" w:cs="Arial"/>
          <w:b/>
          <w:sz w:val="18"/>
        </w:rPr>
      </w:pPr>
      <w:r w:rsidRPr="00D0248D">
        <w:rPr>
          <w:rFonts w:ascii="Arial" w:hAnsi="Arial" w:cs="Arial"/>
          <w:b/>
          <w:sz w:val="18"/>
        </w:rPr>
        <w:t>Pozytywy:</w:t>
      </w:r>
    </w:p>
    <w:p w14:paraId="64066C8E" w14:textId="657F7613" w:rsidR="00032FCE" w:rsidRPr="00D0248D" w:rsidRDefault="00032FCE" w:rsidP="00364649">
      <w:pPr>
        <w:spacing w:after="0"/>
        <w:jc w:val="both"/>
        <w:rPr>
          <w:rFonts w:ascii="Arial" w:hAnsi="Arial" w:cs="Arial"/>
          <w:b/>
          <w:sz w:val="18"/>
        </w:rPr>
      </w:pPr>
    </w:p>
    <w:p w14:paraId="65E1A5B8" w14:textId="77777777" w:rsidR="00032FCE" w:rsidRPr="00D0248D" w:rsidRDefault="00032FCE" w:rsidP="00364649">
      <w:pPr>
        <w:spacing w:after="0"/>
        <w:jc w:val="both"/>
        <w:rPr>
          <w:rFonts w:ascii="Arial" w:hAnsi="Arial" w:cs="Arial"/>
          <w:b/>
          <w:sz w:val="18"/>
        </w:rPr>
      </w:pPr>
    </w:p>
    <w:p w14:paraId="1C9F767D" w14:textId="77777777" w:rsidR="00032FCE" w:rsidRPr="00D0248D" w:rsidRDefault="00032FCE" w:rsidP="00032FC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248D">
        <w:rPr>
          <w:rFonts w:ascii="Arial" w:hAnsi="Arial" w:cs="Arial"/>
          <w:sz w:val="18"/>
          <w:szCs w:val="18"/>
        </w:rPr>
        <w:t xml:space="preserve">Udogodnienia dla najbiedniejszych przedstawione w Polskim Ładzie w tym podniesienie kwoty wolnej od podatku, wsparcie dla rodzin 2+4, PIT-0 dla pracujących emerytów, nieopodatkowana emerytura do kwoty 2500 złotych, zmiany na korzyść inwestorów i innowacji, wprowadzenie Centrum Obsługi Podatkowej </w:t>
      </w:r>
      <w:r w:rsidRPr="00D0248D">
        <w:rPr>
          <w:rFonts w:ascii="Arial" w:hAnsi="Arial" w:cs="Arial"/>
          <w:sz w:val="18"/>
          <w:szCs w:val="18"/>
        </w:rPr>
        <w:lastRenderedPageBreak/>
        <w:t>Inwestora, obciążenie pracodawcy odpowiedzialnością za „pracę na czarno”, ułatwienie sukcesji firm rodzinnych.</w:t>
      </w:r>
    </w:p>
    <w:p w14:paraId="2C914971" w14:textId="77777777" w:rsidR="00032FCE" w:rsidRPr="00D0248D" w:rsidRDefault="00032FCE" w:rsidP="00032FC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CBB3816" w14:textId="77777777" w:rsidR="00032FCE" w:rsidRPr="00D0248D" w:rsidRDefault="00032FCE" w:rsidP="00032FC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5637B23" w14:textId="77777777" w:rsidR="00032FCE" w:rsidRPr="00D0248D" w:rsidRDefault="00032FCE" w:rsidP="00032FC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248D">
        <w:rPr>
          <w:rFonts w:ascii="Arial" w:hAnsi="Arial" w:cs="Arial"/>
          <w:sz w:val="18"/>
          <w:szCs w:val="18"/>
        </w:rPr>
        <w:t>Dążenie do zlikwidowania luki płacowej pomiędzy kobietami, a mężczyznami. Duże firmy mają być zobligowane do tego, aby na żądanie pracownika w ciągu 30 dni uzasadnić wysokość wypłacanego wynagrodzenia. Ponadto, zatrudnieni będą mogli zażądać informacji o przeciętnych zarobkach osób płci przeciwnej wykonujących takie same lub podobne obowiązki</w:t>
      </w:r>
    </w:p>
    <w:p w14:paraId="2477AAB5" w14:textId="77777777" w:rsidR="00032FCE" w:rsidRPr="00D0248D" w:rsidRDefault="00032FCE" w:rsidP="00032FCE">
      <w:pPr>
        <w:spacing w:after="0" w:line="240" w:lineRule="auto"/>
        <w:jc w:val="both"/>
        <w:rPr>
          <w:rFonts w:ascii="Arial" w:hAnsi="Arial" w:cs="Arial"/>
        </w:rPr>
      </w:pPr>
    </w:p>
    <w:p w14:paraId="2D2B45D1" w14:textId="77777777" w:rsidR="00476933" w:rsidRPr="00D0248D" w:rsidRDefault="00476933" w:rsidP="00476933">
      <w:pPr>
        <w:spacing w:after="0" w:line="360" w:lineRule="auto"/>
        <w:jc w:val="both"/>
        <w:rPr>
          <w:rFonts w:ascii="Arial" w:hAnsi="Arial" w:cs="Arial"/>
          <w:sz w:val="18"/>
        </w:rPr>
      </w:pPr>
    </w:p>
    <w:p w14:paraId="626C0137" w14:textId="77777777" w:rsidR="00476933" w:rsidRPr="00D0248D" w:rsidRDefault="00476933" w:rsidP="00476933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647789DF" w14:textId="77777777" w:rsidR="00364649" w:rsidRPr="00D0248D" w:rsidRDefault="00364649" w:rsidP="00364649">
      <w:pPr>
        <w:spacing w:after="0"/>
        <w:jc w:val="both"/>
        <w:rPr>
          <w:rFonts w:ascii="Arial" w:hAnsi="Arial" w:cs="Arial"/>
          <w:bCs/>
          <w:sz w:val="18"/>
        </w:rPr>
      </w:pPr>
      <w:r w:rsidRPr="00D0248D">
        <w:rPr>
          <w:rFonts w:ascii="Arial" w:hAnsi="Arial" w:cs="Arial"/>
          <w:b/>
          <w:bCs/>
          <w:sz w:val="18"/>
        </w:rPr>
        <w:t>Zagrożenia:</w:t>
      </w:r>
    </w:p>
    <w:p w14:paraId="58F1299E" w14:textId="77777777" w:rsidR="00364649" w:rsidRPr="00D0248D" w:rsidRDefault="00364649" w:rsidP="00364649">
      <w:pPr>
        <w:spacing w:after="0" w:line="312" w:lineRule="auto"/>
        <w:jc w:val="both"/>
        <w:rPr>
          <w:rFonts w:ascii="Arial" w:hAnsi="Arial" w:cs="Arial"/>
          <w:b/>
          <w:sz w:val="20"/>
        </w:rPr>
      </w:pPr>
    </w:p>
    <w:p w14:paraId="638E62FF" w14:textId="77777777" w:rsidR="00032FCE" w:rsidRPr="00D0248D" w:rsidRDefault="00032FCE" w:rsidP="00032FC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248D">
        <w:rPr>
          <w:rFonts w:ascii="Arial" w:hAnsi="Arial" w:cs="Arial"/>
          <w:sz w:val="18"/>
          <w:szCs w:val="18"/>
        </w:rPr>
        <w:t>Wysoka i utrwalająca się inflacja jest szczególnie dotkliwym ekonomicznie zagrożeniem zarówno dla rządu jak i obywateli, ponieważ obciąża nie nominalne, a realne salda gotówkowe. Oświadczenia władz monetarnych, że obserwowana obecnie inflacja charakteryzuje się jedynie tymczasowym wzrostem są nieprzekonujące, a jej poziom bliski prawie 5% powinien być traktowany jako szczególnie istotne zagrożenie dla rozwoju gospodarczego państwa.</w:t>
      </w:r>
    </w:p>
    <w:p w14:paraId="6878BE41" w14:textId="77777777" w:rsidR="00032FCE" w:rsidRPr="00D0248D" w:rsidRDefault="00032FCE" w:rsidP="00032FC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B27B9D9" w14:textId="7022B695" w:rsidR="00032FCE" w:rsidRPr="00D0248D" w:rsidRDefault="00032FCE" w:rsidP="00032FC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248D">
        <w:rPr>
          <w:rFonts w:ascii="Arial" w:hAnsi="Arial" w:cs="Arial"/>
          <w:sz w:val="18"/>
          <w:szCs w:val="18"/>
        </w:rPr>
        <w:t xml:space="preserve">W związku z ryzykiem kolejnego lockdownu, </w:t>
      </w:r>
      <w:r w:rsidR="001F0CFB" w:rsidRPr="00D0248D">
        <w:rPr>
          <w:rFonts w:ascii="Arial" w:hAnsi="Arial" w:cs="Arial"/>
          <w:sz w:val="18"/>
          <w:szCs w:val="18"/>
        </w:rPr>
        <w:t>spowodowanym rosnąca</w:t>
      </w:r>
      <w:r w:rsidRPr="00D0248D">
        <w:rPr>
          <w:rFonts w:ascii="Arial" w:hAnsi="Arial" w:cs="Arial"/>
          <w:sz w:val="18"/>
          <w:szCs w:val="18"/>
        </w:rPr>
        <w:t xml:space="preserve"> liczbą hospitalizacji spowodowanych SARS-CoV-2 rząd musi zadbać o umożliwienie ciągłego funkcjonowania działalności gospodarczej ze szczególnym uwzględnieniem małych i średnich przedsiębiorców. Warta rozpatrzenia jest propozycja mniejszych obostrzeń dla osób zaszczepionych i ozdrowieńców, u których trwa okres podwyższonej odporności.</w:t>
      </w:r>
    </w:p>
    <w:p w14:paraId="3E11ABCC" w14:textId="77777777" w:rsidR="00032FCE" w:rsidRPr="00D0248D" w:rsidRDefault="00032FCE" w:rsidP="00032FCE">
      <w:pPr>
        <w:pStyle w:val="Akapitzlist"/>
        <w:rPr>
          <w:rFonts w:ascii="Arial" w:hAnsi="Arial" w:cs="Arial"/>
          <w:sz w:val="18"/>
          <w:szCs w:val="18"/>
        </w:rPr>
      </w:pPr>
    </w:p>
    <w:p w14:paraId="46F89597" w14:textId="77777777" w:rsidR="00032FCE" w:rsidRPr="00D0248D" w:rsidRDefault="00032FCE" w:rsidP="00032FC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248D">
        <w:rPr>
          <w:rFonts w:ascii="Arial" w:hAnsi="Arial" w:cs="Arial"/>
          <w:sz w:val="18"/>
          <w:szCs w:val="18"/>
        </w:rPr>
        <w:t>Polityka rządu objawiająca się działaniami Trybunału Konstytucyjnego może doprowadzić do utraty przez Polskę unijnych funduszy w tym Funduszu Odbudowy.</w:t>
      </w:r>
    </w:p>
    <w:p w14:paraId="498F8B96" w14:textId="77777777" w:rsidR="00032FCE" w:rsidRPr="00D0248D" w:rsidRDefault="00032FCE" w:rsidP="00032FCE">
      <w:pPr>
        <w:pStyle w:val="Akapitzlist"/>
        <w:rPr>
          <w:rFonts w:ascii="Arial" w:hAnsi="Arial" w:cs="Arial"/>
          <w:sz w:val="18"/>
          <w:szCs w:val="18"/>
        </w:rPr>
      </w:pPr>
    </w:p>
    <w:p w14:paraId="22EAC925" w14:textId="77777777" w:rsidR="00032FCE" w:rsidRPr="00D0248D" w:rsidRDefault="00032FCE" w:rsidP="00032FC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248D">
        <w:rPr>
          <w:rFonts w:ascii="Arial" w:hAnsi="Arial" w:cs="Arial"/>
          <w:sz w:val="18"/>
          <w:szCs w:val="18"/>
        </w:rPr>
        <w:t>Obciążenia spowodowane Nowym Ładem nie będą możliwe do pokrycia w przypadku zamrożenia finansowania z UE.</w:t>
      </w:r>
    </w:p>
    <w:p w14:paraId="24334724" w14:textId="77777777" w:rsidR="00032FCE" w:rsidRPr="00D0248D" w:rsidRDefault="00032FCE" w:rsidP="00032FCE">
      <w:pPr>
        <w:pStyle w:val="Akapitzlist"/>
        <w:rPr>
          <w:rFonts w:ascii="Arial" w:hAnsi="Arial" w:cs="Arial"/>
          <w:sz w:val="18"/>
          <w:szCs w:val="18"/>
        </w:rPr>
      </w:pPr>
    </w:p>
    <w:p w14:paraId="5E3CFA7B" w14:textId="77777777" w:rsidR="00032FCE" w:rsidRPr="00D0248D" w:rsidRDefault="00032FCE" w:rsidP="00032FC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248D">
        <w:rPr>
          <w:rFonts w:ascii="Arial" w:hAnsi="Arial" w:cs="Arial"/>
          <w:sz w:val="18"/>
          <w:szCs w:val="18"/>
        </w:rPr>
        <w:t>Wprowadzenie braku możliwości odliczenia składki zdrowotnej od podatku dochodowego i niewielkie zyski osób mało zarabiających w porównaniu z wysokimi stratami finansowymi dziesięciu procent najlepiej zarabiających.</w:t>
      </w:r>
    </w:p>
    <w:p w14:paraId="646228AF" w14:textId="77777777" w:rsidR="00032FCE" w:rsidRPr="00D0248D" w:rsidRDefault="00032FCE" w:rsidP="00032FC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5AED15D" w14:textId="77777777" w:rsidR="001F0CFB" w:rsidRDefault="00032FCE" w:rsidP="001F0CF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248D">
        <w:rPr>
          <w:rFonts w:ascii="Arial" w:hAnsi="Arial" w:cs="Arial"/>
          <w:sz w:val="18"/>
          <w:szCs w:val="18"/>
        </w:rPr>
        <w:t>Zbyt wolny wzrost kwoty przeznaczanej na służbę zdrowia (7% PKB dopiero w 2027).</w:t>
      </w:r>
    </w:p>
    <w:p w14:paraId="2EA2B8E0" w14:textId="77777777" w:rsidR="001F0CFB" w:rsidRPr="001F0CFB" w:rsidRDefault="001F0CFB" w:rsidP="001F0CFB">
      <w:pPr>
        <w:pStyle w:val="Akapitzlist"/>
        <w:rPr>
          <w:rFonts w:ascii="Arial" w:hAnsi="Arial" w:cs="Arial"/>
          <w:sz w:val="18"/>
          <w:szCs w:val="18"/>
        </w:rPr>
      </w:pPr>
    </w:p>
    <w:p w14:paraId="4AB8C421" w14:textId="063C6301" w:rsidR="000809F8" w:rsidRPr="001F0CFB" w:rsidRDefault="00032FCE" w:rsidP="001F0CF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F0CFB">
        <w:rPr>
          <w:rFonts w:ascii="Arial" w:hAnsi="Arial" w:cs="Arial"/>
          <w:sz w:val="18"/>
          <w:szCs w:val="18"/>
        </w:rPr>
        <w:t>Wzrost cen energii, który znacznie zwiększa koszty prowadzenia działalności gospodarczej.</w:t>
      </w:r>
    </w:p>
    <w:p w14:paraId="2D48FC28" w14:textId="77777777" w:rsidR="00476933" w:rsidRPr="00D0248D" w:rsidRDefault="00476933" w:rsidP="000809F8">
      <w:pPr>
        <w:spacing w:after="0" w:line="100" w:lineRule="atLeast"/>
        <w:jc w:val="both"/>
        <w:rPr>
          <w:rFonts w:ascii="Arial" w:hAnsi="Arial" w:cs="Arial"/>
          <w:sz w:val="11"/>
          <w:szCs w:val="13"/>
          <w:u w:val="single"/>
        </w:rPr>
      </w:pPr>
    </w:p>
    <w:p w14:paraId="63FE6006" w14:textId="77777777" w:rsidR="00476933" w:rsidRPr="00D0248D" w:rsidRDefault="00476933" w:rsidP="000809F8">
      <w:pPr>
        <w:spacing w:after="0" w:line="100" w:lineRule="atLeast"/>
        <w:jc w:val="both"/>
        <w:rPr>
          <w:rFonts w:ascii="Arial" w:hAnsi="Arial" w:cs="Arial"/>
          <w:sz w:val="11"/>
          <w:szCs w:val="13"/>
          <w:u w:val="single"/>
        </w:rPr>
      </w:pPr>
    </w:p>
    <w:p w14:paraId="30B6A9B0" w14:textId="77777777" w:rsidR="00476933" w:rsidRPr="00D0248D" w:rsidRDefault="00476933" w:rsidP="000809F8">
      <w:pPr>
        <w:spacing w:after="0" w:line="100" w:lineRule="atLeast"/>
        <w:jc w:val="both"/>
        <w:rPr>
          <w:rFonts w:ascii="Arial" w:hAnsi="Arial" w:cs="Arial"/>
          <w:sz w:val="11"/>
          <w:szCs w:val="13"/>
          <w:u w:val="single"/>
        </w:rPr>
      </w:pPr>
    </w:p>
    <w:p w14:paraId="6A9880CE" w14:textId="77777777" w:rsidR="00476933" w:rsidRPr="00D0248D" w:rsidRDefault="00476933" w:rsidP="000809F8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77923DB1" w14:textId="77777777" w:rsidR="00476933" w:rsidRDefault="00476933" w:rsidP="000809F8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4055ADDB" w14:textId="77777777" w:rsidR="00476933" w:rsidRDefault="00476933" w:rsidP="000809F8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31FB7C75" w14:textId="77777777" w:rsidR="00476933" w:rsidRDefault="00476933" w:rsidP="000809F8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17E25C70" w14:textId="3BA76281" w:rsidR="00476933" w:rsidRDefault="00476933" w:rsidP="000809F8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1F7ACC3A" w14:textId="44F98CFC" w:rsidR="001F0CFB" w:rsidRDefault="001F0CFB" w:rsidP="000809F8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34A27710" w14:textId="57BE80A5" w:rsidR="001F0CFB" w:rsidRDefault="001F0CFB" w:rsidP="000809F8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425A1FFE" w14:textId="168A3C40" w:rsidR="001F0CFB" w:rsidRDefault="001F0CFB" w:rsidP="000809F8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50362915" w14:textId="48D2EF8F" w:rsidR="001F0CFB" w:rsidRDefault="001F0CFB" w:rsidP="000809F8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5F3D0E20" w14:textId="4453BEE9" w:rsidR="001F0CFB" w:rsidRDefault="001F0CFB" w:rsidP="000809F8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5BCFCFF4" w14:textId="4E699F47" w:rsidR="001F0CFB" w:rsidRDefault="001F0CFB" w:rsidP="000809F8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45104640" w14:textId="1C63EED4" w:rsidR="001F0CFB" w:rsidRDefault="001F0CFB" w:rsidP="000809F8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40CDEBDF" w14:textId="36DE8DF9" w:rsidR="001F0CFB" w:rsidRDefault="001F0CFB" w:rsidP="000809F8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12F959A2" w14:textId="02F05CF8" w:rsidR="001F0CFB" w:rsidRDefault="001F0CFB" w:rsidP="000809F8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5A2B43A6" w14:textId="77777777" w:rsidR="001F0CFB" w:rsidRDefault="001F0CFB" w:rsidP="000809F8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6200F68C" w14:textId="77777777" w:rsidR="00476933" w:rsidRDefault="00476933" w:rsidP="000809F8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59FF4C19" w14:textId="77777777" w:rsidR="00476933" w:rsidRDefault="00476933" w:rsidP="000809F8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321742DC" w14:textId="77777777" w:rsidR="000809F8" w:rsidRPr="00293627" w:rsidRDefault="000809F8" w:rsidP="000809F8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  <w:r w:rsidRPr="00293627">
        <w:rPr>
          <w:rFonts w:ascii="Arial" w:hAnsi="Arial" w:cs="Arial"/>
          <w:sz w:val="16"/>
          <w:szCs w:val="18"/>
          <w:u w:val="single"/>
        </w:rPr>
        <w:t>Kontakt:</w:t>
      </w:r>
    </w:p>
    <w:p w14:paraId="416CBB5A" w14:textId="77777777" w:rsidR="000809F8" w:rsidRPr="00CF32D4" w:rsidRDefault="000809F8" w:rsidP="000809F8">
      <w:pPr>
        <w:spacing w:after="0" w:line="100" w:lineRule="atLeast"/>
        <w:jc w:val="both"/>
        <w:rPr>
          <w:rFonts w:ascii="Arial" w:hAnsi="Arial" w:cs="Arial"/>
          <w:b/>
          <w:bCs/>
          <w:sz w:val="16"/>
          <w:szCs w:val="18"/>
          <w:u w:val="single"/>
        </w:rPr>
      </w:pPr>
    </w:p>
    <w:p w14:paraId="68D1086F" w14:textId="77777777" w:rsidR="00032FCE" w:rsidRPr="00421F05" w:rsidRDefault="00032FCE" w:rsidP="00032FCE">
      <w:pPr>
        <w:suppressAutoHyphens/>
        <w:spacing w:after="0" w:line="100" w:lineRule="atLeast"/>
        <w:rPr>
          <w:rFonts w:ascii="Arial" w:eastAsia="Arial Unicode MS" w:hAnsi="Arial" w:cs="Arial"/>
          <w:b/>
          <w:bCs/>
          <w:sz w:val="18"/>
          <w:szCs w:val="18"/>
          <w:lang w:eastAsia="ar-SA"/>
        </w:rPr>
      </w:pPr>
      <w:r w:rsidRPr="00421F05">
        <w:rPr>
          <w:rFonts w:ascii="Arial" w:eastAsia="Arial Unicode MS" w:hAnsi="Arial" w:cs="Arial"/>
          <w:b/>
          <w:bCs/>
          <w:sz w:val="18"/>
          <w:szCs w:val="18"/>
          <w:lang w:eastAsia="ar-SA"/>
        </w:rPr>
        <w:t>Mirosław Kasprzak</w:t>
      </w:r>
    </w:p>
    <w:p w14:paraId="6EF8B13E" w14:textId="25E511C3" w:rsidR="00032FCE" w:rsidRPr="00421F05" w:rsidRDefault="00032FCE" w:rsidP="00032FCE">
      <w:pPr>
        <w:suppressAutoHyphens/>
        <w:spacing w:after="0" w:line="100" w:lineRule="atLeast"/>
        <w:rPr>
          <w:rFonts w:ascii="Arial" w:eastAsia="Arial Unicode MS" w:hAnsi="Arial" w:cs="Arial"/>
          <w:sz w:val="18"/>
          <w:szCs w:val="18"/>
          <w:lang w:eastAsia="ar-SA"/>
        </w:rPr>
      </w:pPr>
      <w:r>
        <w:rPr>
          <w:rFonts w:ascii="Arial" w:eastAsia="Arial Unicode MS" w:hAnsi="Arial" w:cs="Arial"/>
          <w:sz w:val="18"/>
          <w:szCs w:val="18"/>
          <w:lang w:eastAsia="ar-SA"/>
        </w:rPr>
        <w:t>R</w:t>
      </w:r>
      <w:r w:rsidRPr="00421F05">
        <w:rPr>
          <w:rFonts w:ascii="Arial" w:eastAsia="Arial Unicode MS" w:hAnsi="Arial" w:cs="Arial"/>
          <w:sz w:val="18"/>
          <w:szCs w:val="18"/>
          <w:lang w:eastAsia="ar-SA"/>
        </w:rPr>
        <w:t>zecznik BCC</w:t>
      </w:r>
    </w:p>
    <w:p w14:paraId="55B48B10" w14:textId="77777777" w:rsidR="00032FCE" w:rsidRPr="003B4F12" w:rsidRDefault="00032FCE" w:rsidP="00032FCE">
      <w:pPr>
        <w:suppressAutoHyphens/>
        <w:spacing w:after="0" w:line="100" w:lineRule="atLeast"/>
        <w:rPr>
          <w:rFonts w:ascii="Arial" w:eastAsia="Arial Unicode MS" w:hAnsi="Arial" w:cs="Arial"/>
          <w:sz w:val="18"/>
          <w:szCs w:val="18"/>
          <w:lang w:val="en-US" w:eastAsia="ar-SA"/>
        </w:rPr>
      </w:pPr>
      <w:r w:rsidRPr="003B4F12">
        <w:rPr>
          <w:rFonts w:ascii="Arial" w:eastAsia="Arial Unicode MS" w:hAnsi="Arial" w:cs="Arial"/>
          <w:sz w:val="18"/>
          <w:szCs w:val="18"/>
          <w:lang w:val="en-US" w:eastAsia="ar-SA"/>
        </w:rPr>
        <w:t>tel. 608 529 504</w:t>
      </w:r>
    </w:p>
    <w:p w14:paraId="0A47C240" w14:textId="77777777" w:rsidR="00032FCE" w:rsidRPr="001D0D9A" w:rsidRDefault="00032FCE" w:rsidP="00032FCE">
      <w:pPr>
        <w:suppressAutoHyphens/>
        <w:spacing w:after="0" w:line="100" w:lineRule="atLeast"/>
        <w:rPr>
          <w:rFonts w:ascii="Arial" w:eastAsia="Arial Unicode MS" w:hAnsi="Arial" w:cs="Arial"/>
          <w:color w:val="146CB4"/>
          <w:sz w:val="18"/>
          <w:szCs w:val="18"/>
          <w:lang w:val="en-US" w:eastAsia="ar-SA"/>
        </w:rPr>
      </w:pPr>
      <w:r w:rsidRPr="001D0D9A">
        <w:rPr>
          <w:rFonts w:ascii="Arial" w:eastAsia="Arial Unicode MS" w:hAnsi="Arial" w:cs="Arial"/>
          <w:sz w:val="18"/>
          <w:szCs w:val="18"/>
          <w:lang w:val="en-US" w:eastAsia="ar-SA"/>
        </w:rPr>
        <w:t>e-mail: miroslaw.kasprzak@b</w:t>
      </w:r>
      <w:r>
        <w:rPr>
          <w:rFonts w:ascii="Arial" w:eastAsia="Arial Unicode MS" w:hAnsi="Arial" w:cs="Arial"/>
          <w:sz w:val="18"/>
          <w:szCs w:val="18"/>
          <w:lang w:val="en-US" w:eastAsia="ar-SA"/>
        </w:rPr>
        <w:t>cc.org.pl</w:t>
      </w:r>
    </w:p>
    <w:p w14:paraId="4669E016" w14:textId="77777777" w:rsidR="000809F8" w:rsidRPr="00792961" w:rsidRDefault="000809F8" w:rsidP="000809F8">
      <w:pPr>
        <w:spacing w:after="0" w:line="240" w:lineRule="auto"/>
        <w:jc w:val="both"/>
        <w:rPr>
          <w:b/>
          <w:sz w:val="20"/>
          <w:szCs w:val="28"/>
          <w:lang w:val="en-US"/>
        </w:rPr>
      </w:pPr>
    </w:p>
    <w:p w14:paraId="66C69005" w14:textId="77777777" w:rsidR="00D81796" w:rsidRPr="000809F8" w:rsidRDefault="000809F8" w:rsidP="00342A87">
      <w:pPr>
        <w:pBdr>
          <w:top w:val="single" w:sz="2" w:space="6" w:color="C00000"/>
        </w:pBdr>
        <w:spacing w:after="0" w:line="240" w:lineRule="auto"/>
        <w:jc w:val="both"/>
        <w:rPr>
          <w:rFonts w:cs="Calibri"/>
          <w:i/>
          <w:color w:val="808080"/>
          <w:sz w:val="14"/>
          <w:szCs w:val="16"/>
        </w:rPr>
      </w:pPr>
      <w:r w:rsidRPr="00303D9E">
        <w:rPr>
          <w:rFonts w:cs="Calibri"/>
          <w:b/>
          <w:i/>
          <w:color w:val="808080"/>
          <w:sz w:val="14"/>
          <w:szCs w:val="16"/>
        </w:rPr>
        <w:t>Gospodarczy Gabinet Cieni Business Centre Club</w:t>
      </w:r>
      <w:r w:rsidRPr="00303D9E">
        <w:rPr>
          <w:rFonts w:cs="Calibri"/>
          <w:i/>
          <w:color w:val="808080"/>
          <w:sz w:val="14"/>
          <w:szCs w:val="16"/>
        </w:rPr>
        <w:t xml:space="preserve"> to think tank powołany w kwietniu 2012 r., aby wspierać działania prorozwojowe władz publicznych, monitorować prace resortów kluczowych dla przedsiębiorczości, rekomendować zmiany sprzyjające rozwojowi kraju, wzrostowi gospodarczemu i konkurencyjności polskich firm. W skład GGC BCC wchodzą wybitni gospodarczy fachowcy, z których wielu piastowało w przeszłości funkcje publiczne [lista poniżej]. Więcej informacji: </w:t>
      </w:r>
      <w:hyperlink r:id="rId9" w:history="1">
        <w:r w:rsidRPr="00303D9E">
          <w:rPr>
            <w:rStyle w:val="Hipercze"/>
            <w:rFonts w:cs="Calibri"/>
            <w:i/>
            <w:sz w:val="14"/>
            <w:szCs w:val="16"/>
          </w:rPr>
          <w:t>http://www.bcc.org.pl/Gospodarczy-Gabinet-Cieni.4241.0.html</w:t>
        </w:r>
      </w:hyperlink>
    </w:p>
    <w:sectPr w:rsidR="00D81796" w:rsidRPr="000809F8" w:rsidSect="00364649">
      <w:footerReference w:type="default" r:id="rId10"/>
      <w:pgSz w:w="11906" w:h="16838"/>
      <w:pgMar w:top="1135" w:right="1417" w:bottom="1135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C551" w14:textId="77777777" w:rsidR="000F5F96" w:rsidRDefault="000F5F96">
      <w:pPr>
        <w:spacing w:after="0" w:line="240" w:lineRule="auto"/>
      </w:pPr>
      <w:r>
        <w:separator/>
      </w:r>
    </w:p>
  </w:endnote>
  <w:endnote w:type="continuationSeparator" w:id="0">
    <w:p w14:paraId="33FA89C7" w14:textId="77777777" w:rsidR="000F5F96" w:rsidRDefault="000F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F5DD" w14:textId="10C8B8F6" w:rsidR="00B453A4" w:rsidRPr="009B7B9C" w:rsidRDefault="000F6A44" w:rsidP="0079671E">
    <w:pPr>
      <w:pStyle w:val="Stopka"/>
      <w:rPr>
        <w:sz w:val="18"/>
      </w:rPr>
    </w:pPr>
    <w:r>
      <w:rPr>
        <w:sz w:val="16"/>
        <w:szCs w:val="18"/>
      </w:rPr>
      <w:t>Gospodarczy Gabinet Cieni BCC – XXX</w:t>
    </w:r>
    <w:r w:rsidR="000809F8">
      <w:rPr>
        <w:sz w:val="16"/>
        <w:szCs w:val="18"/>
      </w:rPr>
      <w:t>VI</w:t>
    </w:r>
    <w:r w:rsidR="00032FCE">
      <w:rPr>
        <w:sz w:val="16"/>
        <w:szCs w:val="18"/>
      </w:rPr>
      <w:t>I</w:t>
    </w:r>
    <w:r w:rsidR="000809F8">
      <w:rPr>
        <w:sz w:val="16"/>
        <w:szCs w:val="18"/>
      </w:rPr>
      <w:t>I</w:t>
    </w:r>
    <w:r>
      <w:rPr>
        <w:sz w:val="16"/>
        <w:szCs w:val="18"/>
      </w:rPr>
      <w:t xml:space="preserve"> Raport kwartalny – </w:t>
    </w:r>
    <w:r w:rsidR="00032FCE">
      <w:rPr>
        <w:sz w:val="16"/>
        <w:szCs w:val="18"/>
      </w:rPr>
      <w:t>14</w:t>
    </w:r>
    <w:r w:rsidRPr="009B7B9C">
      <w:rPr>
        <w:sz w:val="16"/>
        <w:szCs w:val="18"/>
      </w:rPr>
      <w:t>.</w:t>
    </w:r>
    <w:r w:rsidR="00032FCE">
      <w:rPr>
        <w:sz w:val="16"/>
        <w:szCs w:val="18"/>
      </w:rPr>
      <w:t>10</w:t>
    </w:r>
    <w:r w:rsidR="000809F8">
      <w:rPr>
        <w:sz w:val="16"/>
        <w:szCs w:val="18"/>
      </w:rPr>
      <w:t>.</w:t>
    </w:r>
    <w:r w:rsidRPr="009B7B9C">
      <w:rPr>
        <w:sz w:val="16"/>
        <w:szCs w:val="18"/>
      </w:rPr>
      <w:t>2</w:t>
    </w:r>
    <w:r>
      <w:rPr>
        <w:sz w:val="16"/>
        <w:szCs w:val="18"/>
      </w:rPr>
      <w:t>0</w:t>
    </w:r>
    <w:r w:rsidR="000809F8">
      <w:rPr>
        <w:sz w:val="16"/>
        <w:szCs w:val="18"/>
      </w:rPr>
      <w:t>21</w:t>
    </w:r>
    <w:r w:rsidRPr="009B7B9C">
      <w:rPr>
        <w:sz w:val="16"/>
        <w:szCs w:val="18"/>
      </w:rPr>
      <w:t xml:space="preserve"> r.</w:t>
    </w:r>
    <w:r>
      <w:rPr>
        <w:sz w:val="16"/>
        <w:szCs w:val="18"/>
      </w:rPr>
      <w:tab/>
    </w:r>
    <w:r w:rsidRPr="009B7B9C">
      <w:rPr>
        <w:sz w:val="18"/>
      </w:rPr>
      <w:t xml:space="preserve"> </w:t>
    </w:r>
    <w:r>
      <w:rPr>
        <w:sz w:val="18"/>
      </w:rPr>
      <w:tab/>
    </w:r>
    <w:r w:rsidRPr="009B7B9C">
      <w:rPr>
        <w:sz w:val="18"/>
      </w:rPr>
      <w:fldChar w:fldCharType="begin"/>
    </w:r>
    <w:r w:rsidRPr="009B7B9C">
      <w:rPr>
        <w:sz w:val="18"/>
      </w:rPr>
      <w:instrText xml:space="preserve"> PAGE   \* MERGEFORMAT </w:instrText>
    </w:r>
    <w:r w:rsidRPr="009B7B9C">
      <w:rPr>
        <w:sz w:val="18"/>
      </w:rPr>
      <w:fldChar w:fldCharType="separate"/>
    </w:r>
    <w:r w:rsidR="00476933">
      <w:rPr>
        <w:noProof/>
        <w:sz w:val="18"/>
      </w:rPr>
      <w:t>1</w:t>
    </w:r>
    <w:r w:rsidRPr="009B7B9C">
      <w:rPr>
        <w:sz w:val="18"/>
      </w:rPr>
      <w:fldChar w:fldCharType="end"/>
    </w:r>
  </w:p>
  <w:p w14:paraId="721BCC64" w14:textId="77777777" w:rsidR="00B453A4" w:rsidRDefault="000F5F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EB80" w14:textId="77777777" w:rsidR="000F5F96" w:rsidRDefault="000F5F96">
      <w:pPr>
        <w:spacing w:after="0" w:line="240" w:lineRule="auto"/>
      </w:pPr>
      <w:r>
        <w:separator/>
      </w:r>
    </w:p>
  </w:footnote>
  <w:footnote w:type="continuationSeparator" w:id="0">
    <w:p w14:paraId="1FA26992" w14:textId="77777777" w:rsidR="000F5F96" w:rsidRDefault="000F5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6181"/>
    <w:multiLevelType w:val="hybridMultilevel"/>
    <w:tmpl w:val="75D0441E"/>
    <w:lvl w:ilvl="0" w:tplc="9C607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3254"/>
    <w:multiLevelType w:val="hybridMultilevel"/>
    <w:tmpl w:val="4484DF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21F3B"/>
    <w:multiLevelType w:val="hybridMultilevel"/>
    <w:tmpl w:val="410A9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454DD"/>
    <w:multiLevelType w:val="hybridMultilevel"/>
    <w:tmpl w:val="5A04B02E"/>
    <w:lvl w:ilvl="0" w:tplc="52C602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60CC"/>
    <w:multiLevelType w:val="hybridMultilevel"/>
    <w:tmpl w:val="97B68DA6"/>
    <w:lvl w:ilvl="0" w:tplc="3C8A03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558D3"/>
    <w:multiLevelType w:val="hybridMultilevel"/>
    <w:tmpl w:val="9B3E3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46B79"/>
    <w:multiLevelType w:val="hybridMultilevel"/>
    <w:tmpl w:val="272E7C54"/>
    <w:lvl w:ilvl="0" w:tplc="44CCB0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F2CA9"/>
    <w:multiLevelType w:val="hybridMultilevel"/>
    <w:tmpl w:val="82BA9A92"/>
    <w:lvl w:ilvl="0" w:tplc="3C8A03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A0190"/>
    <w:multiLevelType w:val="hybridMultilevel"/>
    <w:tmpl w:val="4EBA8BCE"/>
    <w:lvl w:ilvl="0" w:tplc="F4122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06AC5"/>
    <w:multiLevelType w:val="hybridMultilevel"/>
    <w:tmpl w:val="7A8CEEAA"/>
    <w:lvl w:ilvl="0" w:tplc="A20639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77E0D"/>
    <w:multiLevelType w:val="hybridMultilevel"/>
    <w:tmpl w:val="13EED0C0"/>
    <w:lvl w:ilvl="0" w:tplc="144AA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123CC"/>
    <w:multiLevelType w:val="hybridMultilevel"/>
    <w:tmpl w:val="8AE8872A"/>
    <w:lvl w:ilvl="0" w:tplc="D396B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863C2"/>
    <w:multiLevelType w:val="hybridMultilevel"/>
    <w:tmpl w:val="C8C26A72"/>
    <w:lvl w:ilvl="0" w:tplc="0A18B9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1272E"/>
    <w:multiLevelType w:val="hybridMultilevel"/>
    <w:tmpl w:val="234470DC"/>
    <w:lvl w:ilvl="0" w:tplc="14BCB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74506"/>
    <w:multiLevelType w:val="hybridMultilevel"/>
    <w:tmpl w:val="2FE254F6"/>
    <w:lvl w:ilvl="0" w:tplc="EDA8F0B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6F2FE7"/>
    <w:multiLevelType w:val="hybridMultilevel"/>
    <w:tmpl w:val="C38A0FE6"/>
    <w:lvl w:ilvl="0" w:tplc="3C8A03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D1044"/>
    <w:multiLevelType w:val="hybridMultilevel"/>
    <w:tmpl w:val="CE866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9279E"/>
    <w:multiLevelType w:val="hybridMultilevel"/>
    <w:tmpl w:val="6BBA5B82"/>
    <w:lvl w:ilvl="0" w:tplc="FC42350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832781B"/>
    <w:multiLevelType w:val="hybridMultilevel"/>
    <w:tmpl w:val="8BDAB5BE"/>
    <w:lvl w:ilvl="0" w:tplc="A9384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6372A"/>
    <w:multiLevelType w:val="hybridMultilevel"/>
    <w:tmpl w:val="D35C0172"/>
    <w:lvl w:ilvl="0" w:tplc="923C9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74BDF"/>
    <w:multiLevelType w:val="hybridMultilevel"/>
    <w:tmpl w:val="D328463A"/>
    <w:lvl w:ilvl="0" w:tplc="858CD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18"/>
  </w:num>
  <w:num w:numId="5">
    <w:abstractNumId w:val="8"/>
  </w:num>
  <w:num w:numId="6">
    <w:abstractNumId w:val="17"/>
  </w:num>
  <w:num w:numId="7">
    <w:abstractNumId w:val="10"/>
  </w:num>
  <w:num w:numId="8">
    <w:abstractNumId w:val="9"/>
  </w:num>
  <w:num w:numId="9">
    <w:abstractNumId w:val="16"/>
  </w:num>
  <w:num w:numId="10">
    <w:abstractNumId w:val="11"/>
  </w:num>
  <w:num w:numId="11">
    <w:abstractNumId w:val="12"/>
  </w:num>
  <w:num w:numId="12">
    <w:abstractNumId w:val="19"/>
  </w:num>
  <w:num w:numId="13">
    <w:abstractNumId w:val="13"/>
  </w:num>
  <w:num w:numId="14">
    <w:abstractNumId w:val="2"/>
  </w:num>
  <w:num w:numId="15">
    <w:abstractNumId w:val="5"/>
  </w:num>
  <w:num w:numId="16">
    <w:abstractNumId w:val="7"/>
  </w:num>
  <w:num w:numId="17">
    <w:abstractNumId w:val="15"/>
  </w:num>
  <w:num w:numId="18">
    <w:abstractNumId w:val="4"/>
  </w:num>
  <w:num w:numId="19">
    <w:abstractNumId w:val="1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87"/>
    <w:rsid w:val="00032FCE"/>
    <w:rsid w:val="000809F8"/>
    <w:rsid w:val="000F5F96"/>
    <w:rsid w:val="000F6A44"/>
    <w:rsid w:val="00101039"/>
    <w:rsid w:val="00106344"/>
    <w:rsid w:val="0013564F"/>
    <w:rsid w:val="001756FF"/>
    <w:rsid w:val="001868F5"/>
    <w:rsid w:val="001B2FF7"/>
    <w:rsid w:val="001F0CFB"/>
    <w:rsid w:val="00203AF2"/>
    <w:rsid w:val="0022514D"/>
    <w:rsid w:val="0027385E"/>
    <w:rsid w:val="00293627"/>
    <w:rsid w:val="00342A87"/>
    <w:rsid w:val="00345890"/>
    <w:rsid w:val="00361509"/>
    <w:rsid w:val="00364649"/>
    <w:rsid w:val="00377465"/>
    <w:rsid w:val="00462C03"/>
    <w:rsid w:val="00476933"/>
    <w:rsid w:val="005F106E"/>
    <w:rsid w:val="00670B9F"/>
    <w:rsid w:val="00694308"/>
    <w:rsid w:val="006A4707"/>
    <w:rsid w:val="006B44E0"/>
    <w:rsid w:val="00772113"/>
    <w:rsid w:val="00792961"/>
    <w:rsid w:val="007A7DD9"/>
    <w:rsid w:val="007F1637"/>
    <w:rsid w:val="007F64E5"/>
    <w:rsid w:val="00844F1E"/>
    <w:rsid w:val="008670C0"/>
    <w:rsid w:val="008C187C"/>
    <w:rsid w:val="008D6BF2"/>
    <w:rsid w:val="008F04E5"/>
    <w:rsid w:val="008F3799"/>
    <w:rsid w:val="00952FD5"/>
    <w:rsid w:val="00970162"/>
    <w:rsid w:val="00970CCF"/>
    <w:rsid w:val="00980411"/>
    <w:rsid w:val="00AA6E02"/>
    <w:rsid w:val="00AD0D6C"/>
    <w:rsid w:val="00B267A1"/>
    <w:rsid w:val="00B32CC8"/>
    <w:rsid w:val="00B36892"/>
    <w:rsid w:val="00BD53A4"/>
    <w:rsid w:val="00C32E6E"/>
    <w:rsid w:val="00C836D8"/>
    <w:rsid w:val="00CF32D4"/>
    <w:rsid w:val="00D0248D"/>
    <w:rsid w:val="00D14852"/>
    <w:rsid w:val="00D1485C"/>
    <w:rsid w:val="00D54C8D"/>
    <w:rsid w:val="00D81796"/>
    <w:rsid w:val="00E01575"/>
    <w:rsid w:val="00E16B4D"/>
    <w:rsid w:val="00E35E54"/>
    <w:rsid w:val="00E4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BC6D"/>
  <w15:docId w15:val="{5C81670A-FD50-A345-A8B8-BDF9536A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42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A87"/>
  </w:style>
  <w:style w:type="paragraph" w:styleId="Tekstdymka">
    <w:name w:val="Balloon Text"/>
    <w:basedOn w:val="Normalny"/>
    <w:link w:val="TekstdymkaZnak"/>
    <w:uiPriority w:val="99"/>
    <w:semiHidden/>
    <w:unhideWhenUsed/>
    <w:rsid w:val="0034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A87"/>
    <w:rPr>
      <w:rFonts w:ascii="Tahoma" w:hAnsi="Tahoma" w:cs="Tahoma"/>
      <w:sz w:val="16"/>
      <w:szCs w:val="16"/>
    </w:rPr>
  </w:style>
  <w:style w:type="paragraph" w:customStyle="1" w:styleId="Titreobjet">
    <w:name w:val="Titre objet"/>
    <w:basedOn w:val="Normalny"/>
    <w:next w:val="Normalny"/>
    <w:rsid w:val="00342A87"/>
    <w:pPr>
      <w:spacing w:before="360" w:after="3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ManualConsidrant">
    <w:name w:val="Manual Considérant"/>
    <w:basedOn w:val="Normalny"/>
    <w:rsid w:val="00342A87"/>
    <w:pPr>
      <w:spacing w:before="120" w:after="120" w:line="240" w:lineRule="auto"/>
      <w:ind w:left="709" w:hanging="709"/>
      <w:jc w:val="both"/>
    </w:pPr>
    <w:rPr>
      <w:rFonts w:ascii="Times New Roman" w:hAnsi="Times New Roman" w:cs="Times New Roman"/>
      <w:sz w:val="24"/>
    </w:rPr>
  </w:style>
  <w:style w:type="paragraph" w:customStyle="1" w:styleId="Formuledadoption">
    <w:name w:val="Formule d'adoption"/>
    <w:basedOn w:val="Normalny"/>
    <w:next w:val="Normalny"/>
    <w:rsid w:val="00342A87"/>
    <w:pPr>
      <w:keepNext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ManualNumPar1">
    <w:name w:val="Manual NumPar 1"/>
    <w:basedOn w:val="Normalny"/>
    <w:next w:val="Normalny"/>
    <w:rsid w:val="00342A87"/>
    <w:pP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342A87"/>
    <w:pPr>
      <w:ind w:left="720"/>
      <w:contextualSpacing/>
    </w:pPr>
  </w:style>
  <w:style w:type="character" w:styleId="Hipercze">
    <w:name w:val="Hyperlink"/>
    <w:unhideWhenUsed/>
    <w:rsid w:val="008670C0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0809F8"/>
  </w:style>
  <w:style w:type="paragraph" w:styleId="Nagwek">
    <w:name w:val="header"/>
    <w:basedOn w:val="Normalny"/>
    <w:link w:val="NagwekZnak"/>
    <w:uiPriority w:val="99"/>
    <w:unhideWhenUsed/>
    <w:rsid w:val="00080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cc.org.pl/Gospodarczy-Gabinet-Cieni.4241.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Muciński</dc:creator>
  <cp:lastModifiedBy>Mirosław Kasprzak</cp:lastModifiedBy>
  <cp:revision>5</cp:revision>
  <cp:lastPrinted>2021-07-06T07:28:00Z</cp:lastPrinted>
  <dcterms:created xsi:type="dcterms:W3CDTF">2021-10-24T14:03:00Z</dcterms:created>
  <dcterms:modified xsi:type="dcterms:W3CDTF">2021-10-24T14:16:00Z</dcterms:modified>
</cp:coreProperties>
</file>