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15439" w14:textId="77777777" w:rsidR="00342A87" w:rsidRPr="00342A87" w:rsidRDefault="00342A87" w:rsidP="00342A87">
      <w:pPr>
        <w:spacing w:after="0" w:line="240" w:lineRule="auto"/>
        <w:jc w:val="center"/>
        <w:rPr>
          <w:rFonts w:ascii="Calibri" w:eastAsia="Calibri" w:hAnsi="Calibri" w:cs="Times New Roman"/>
          <w:sz w:val="2"/>
          <w:szCs w:val="2"/>
        </w:rPr>
      </w:pPr>
      <w:r w:rsidRPr="00342A87">
        <w:rPr>
          <w:rFonts w:ascii="Calibri" w:eastAsia="Calibri" w:hAnsi="Calibri" w:cs="Times New Roman"/>
          <w:noProof/>
          <w:sz w:val="2"/>
          <w:szCs w:val="2"/>
          <w:lang w:eastAsia="pl-PL"/>
        </w:rPr>
        <w:drawing>
          <wp:inline distT="0" distB="0" distL="0" distR="0" wp14:anchorId="6BCC4A56" wp14:editId="4BEC7DB4">
            <wp:extent cx="2343883" cy="1944924"/>
            <wp:effectExtent l="0" t="0" r="5715" b="0"/>
            <wp:docPr id="1" name="Obraz 1" descr="0c428292-28c0-4f74-b347-08cf9b51f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c428292-28c0-4f74-b347-08cf9b51f9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9211" cy="1957643"/>
                    </a:xfrm>
                    <a:prstGeom prst="rect">
                      <a:avLst/>
                    </a:prstGeom>
                    <a:noFill/>
                    <a:ln>
                      <a:noFill/>
                    </a:ln>
                  </pic:spPr>
                </pic:pic>
              </a:graphicData>
            </a:graphic>
          </wp:inline>
        </w:drawing>
      </w:r>
    </w:p>
    <w:p w14:paraId="5118DDFB" w14:textId="77777777" w:rsidR="00342A87" w:rsidRPr="00342A87" w:rsidRDefault="00342A87" w:rsidP="00342A87">
      <w:pPr>
        <w:spacing w:after="0" w:line="240" w:lineRule="auto"/>
        <w:jc w:val="center"/>
        <w:rPr>
          <w:rFonts w:ascii="Calibri" w:eastAsia="Calibri" w:hAnsi="Calibri" w:cs="Times New Roman"/>
          <w:b/>
          <w:bCs/>
          <w:sz w:val="10"/>
        </w:rPr>
      </w:pPr>
    </w:p>
    <w:p w14:paraId="4208C6C4" w14:textId="6825D717" w:rsidR="00342A87" w:rsidRPr="00342A87" w:rsidRDefault="00342A87" w:rsidP="00342A87">
      <w:pPr>
        <w:tabs>
          <w:tab w:val="left" w:pos="0"/>
          <w:tab w:val="left" w:pos="8647"/>
          <w:tab w:val="left" w:pos="9072"/>
        </w:tabs>
        <w:spacing w:after="120" w:line="360" w:lineRule="auto"/>
        <w:jc w:val="right"/>
        <w:rPr>
          <w:rFonts w:ascii="Arial" w:eastAsia="Times New Roman" w:hAnsi="Arial" w:cs="Times New Roman"/>
          <w:sz w:val="18"/>
          <w:szCs w:val="20"/>
          <w:lang w:val="x-none" w:eastAsia="x-none"/>
        </w:rPr>
      </w:pPr>
      <w:r w:rsidRPr="00342A87">
        <w:rPr>
          <w:rFonts w:ascii="Arial" w:eastAsia="Times New Roman" w:hAnsi="Arial" w:cs="Times New Roman"/>
          <w:sz w:val="18"/>
          <w:szCs w:val="20"/>
          <w:lang w:val="x-none" w:eastAsia="x-none"/>
        </w:rPr>
        <w:t xml:space="preserve">Warszawa, </w:t>
      </w:r>
      <w:r w:rsidR="00F23C5C">
        <w:rPr>
          <w:rFonts w:ascii="Arial" w:eastAsia="Times New Roman" w:hAnsi="Arial" w:cs="Times New Roman"/>
          <w:sz w:val="18"/>
          <w:szCs w:val="20"/>
          <w:lang w:eastAsia="x-none"/>
        </w:rPr>
        <w:t>26</w:t>
      </w:r>
      <w:r w:rsidR="00130622">
        <w:rPr>
          <w:rFonts w:ascii="Arial" w:eastAsia="Times New Roman" w:hAnsi="Arial" w:cs="Times New Roman"/>
          <w:sz w:val="18"/>
          <w:szCs w:val="20"/>
          <w:lang w:eastAsia="x-none"/>
        </w:rPr>
        <w:t xml:space="preserve"> października</w:t>
      </w:r>
      <w:r w:rsidR="00BF3B74">
        <w:rPr>
          <w:rFonts w:ascii="Arial" w:eastAsia="Times New Roman" w:hAnsi="Arial" w:cs="Times New Roman"/>
          <w:sz w:val="18"/>
          <w:szCs w:val="20"/>
          <w:lang w:eastAsia="x-none"/>
        </w:rPr>
        <w:t xml:space="preserve"> </w:t>
      </w:r>
      <w:r w:rsidR="008E6F63">
        <w:rPr>
          <w:rFonts w:ascii="Arial" w:eastAsia="Times New Roman" w:hAnsi="Arial" w:cs="Times New Roman"/>
          <w:sz w:val="18"/>
          <w:szCs w:val="20"/>
          <w:lang w:eastAsia="x-none"/>
        </w:rPr>
        <w:t xml:space="preserve"> </w:t>
      </w:r>
      <w:r w:rsidRPr="00342A87">
        <w:rPr>
          <w:rFonts w:ascii="Arial" w:eastAsia="Times New Roman" w:hAnsi="Arial" w:cs="Times New Roman"/>
          <w:sz w:val="18"/>
          <w:szCs w:val="20"/>
          <w:lang w:eastAsia="x-none"/>
        </w:rPr>
        <w:t>2</w:t>
      </w:r>
      <w:r w:rsidRPr="00342A87">
        <w:rPr>
          <w:rFonts w:ascii="Arial" w:eastAsia="Times New Roman" w:hAnsi="Arial" w:cs="Times New Roman"/>
          <w:sz w:val="18"/>
          <w:szCs w:val="20"/>
          <w:lang w:val="x-none" w:eastAsia="x-none"/>
        </w:rPr>
        <w:t>0</w:t>
      </w:r>
      <w:r w:rsidR="008E6F63">
        <w:rPr>
          <w:rFonts w:ascii="Arial" w:eastAsia="Times New Roman" w:hAnsi="Arial" w:cs="Times New Roman"/>
          <w:sz w:val="18"/>
          <w:szCs w:val="20"/>
          <w:lang w:eastAsia="x-none"/>
        </w:rPr>
        <w:t xml:space="preserve">21 </w:t>
      </w:r>
      <w:r w:rsidRPr="00342A87">
        <w:rPr>
          <w:rFonts w:ascii="Arial" w:eastAsia="Times New Roman" w:hAnsi="Arial" w:cs="Times New Roman"/>
          <w:sz w:val="18"/>
          <w:szCs w:val="20"/>
          <w:lang w:val="x-none" w:eastAsia="x-none"/>
        </w:rPr>
        <w:t>r.</w:t>
      </w:r>
    </w:p>
    <w:p w14:paraId="65BE2C36" w14:textId="7F7FC14A" w:rsidR="00342A87" w:rsidRPr="00D40662" w:rsidRDefault="00342A87" w:rsidP="00342A87">
      <w:pPr>
        <w:pBdr>
          <w:top w:val="single" w:sz="4" w:space="1" w:color="auto"/>
          <w:left w:val="single" w:sz="4" w:space="4" w:color="auto"/>
          <w:bottom w:val="single" w:sz="4" w:space="5" w:color="auto"/>
          <w:right w:val="single" w:sz="4" w:space="4" w:color="auto"/>
        </w:pBdr>
        <w:tabs>
          <w:tab w:val="left" w:pos="0"/>
          <w:tab w:val="left" w:pos="8647"/>
          <w:tab w:val="left" w:pos="9072"/>
        </w:tabs>
        <w:spacing w:after="0" w:line="240" w:lineRule="auto"/>
        <w:jc w:val="center"/>
        <w:outlineLvl w:val="0"/>
        <w:rPr>
          <w:rFonts w:ascii="Times New Roman" w:eastAsia="Times New Roman" w:hAnsi="Times New Roman" w:cs="Times New Roman"/>
          <w:b/>
          <w:bCs/>
          <w:smallCaps/>
          <w:color w:val="003366"/>
          <w:sz w:val="44"/>
          <w:szCs w:val="44"/>
          <w:lang w:val="x-none" w:eastAsia="x-none"/>
        </w:rPr>
      </w:pPr>
      <w:r w:rsidRPr="00D40662">
        <w:rPr>
          <w:rFonts w:ascii="Times New Roman" w:eastAsia="Times New Roman" w:hAnsi="Times New Roman" w:cs="Times New Roman"/>
          <w:b/>
          <w:bCs/>
          <w:smallCaps/>
          <w:color w:val="003366"/>
          <w:sz w:val="44"/>
          <w:szCs w:val="44"/>
          <w:lang w:eastAsia="x-none"/>
        </w:rPr>
        <w:t xml:space="preserve">RAPORT: </w:t>
      </w:r>
      <w:r w:rsidR="00D40662" w:rsidRPr="00D40662">
        <w:rPr>
          <w:rFonts w:ascii="Times New Roman" w:eastAsia="Times New Roman" w:hAnsi="Times New Roman" w:cs="Times New Roman"/>
          <w:b/>
          <w:bCs/>
          <w:smallCaps/>
          <w:color w:val="003366"/>
          <w:sz w:val="44"/>
          <w:szCs w:val="44"/>
          <w:lang w:eastAsia="x-none"/>
        </w:rPr>
        <w:t>Przedsiębiorczość i innowacje</w:t>
      </w:r>
    </w:p>
    <w:p w14:paraId="4BB2F9BE" w14:textId="77777777" w:rsidR="00342A87" w:rsidRDefault="00342A87" w:rsidP="00442186">
      <w:pPr>
        <w:spacing w:after="0" w:line="240" w:lineRule="auto"/>
        <w:jc w:val="both"/>
        <w:rPr>
          <w:rFonts w:ascii="Calibri" w:eastAsia="Calibri" w:hAnsi="Calibri" w:cs="Times New Roman"/>
          <w:b/>
          <w:sz w:val="14"/>
          <w:szCs w:val="16"/>
        </w:rPr>
      </w:pPr>
    </w:p>
    <w:p w14:paraId="2C23DDF8" w14:textId="77777777" w:rsidR="00772113" w:rsidRDefault="00772113" w:rsidP="00772113">
      <w:pPr>
        <w:spacing w:after="0" w:line="240" w:lineRule="auto"/>
        <w:jc w:val="both"/>
        <w:rPr>
          <w:b/>
          <w:sz w:val="28"/>
          <w:szCs w:val="28"/>
        </w:rPr>
      </w:pPr>
    </w:p>
    <w:p w14:paraId="428D3326" w14:textId="15EA1FB1" w:rsidR="00FA061A" w:rsidRPr="00FA061A" w:rsidRDefault="00FA061A" w:rsidP="00FA061A">
      <w:pPr>
        <w:rPr>
          <w:rFonts w:ascii="Times New Roman" w:eastAsia="Times New Roman" w:hAnsi="Times New Roman" w:cs="Times New Roman"/>
          <w:sz w:val="24"/>
          <w:szCs w:val="24"/>
          <w:lang w:eastAsia="pl-PL"/>
        </w:rPr>
      </w:pPr>
      <w:r w:rsidRPr="00FA061A">
        <w:rPr>
          <w:rFonts w:ascii="Bookman Old Style,Bold" w:hAnsi="Bookman Old Style,Bold"/>
          <w:b/>
          <w:bCs/>
          <w:sz w:val="16"/>
          <w:szCs w:val="16"/>
        </w:rPr>
        <w:t>BO</w:t>
      </w:r>
      <w:r w:rsidR="00F23C5C">
        <w:rPr>
          <w:rFonts w:ascii="Bookman Old Style,Bold" w:hAnsi="Bookman Old Style,Bold"/>
          <w:b/>
          <w:bCs/>
          <w:sz w:val="16"/>
          <w:szCs w:val="16"/>
        </w:rPr>
        <w:t>Ż</w:t>
      </w:r>
      <w:r w:rsidRPr="00FA061A">
        <w:rPr>
          <w:rFonts w:ascii="Bookman Old Style,Bold" w:hAnsi="Bookman Old Style,Bold"/>
          <w:b/>
          <w:bCs/>
          <w:sz w:val="16"/>
          <w:szCs w:val="16"/>
        </w:rPr>
        <w:t>ENA LUBLIŃSKA-KASPRZAK</w:t>
      </w:r>
    </w:p>
    <w:p w14:paraId="0CB59F83" w14:textId="7D339A38" w:rsidR="0018795E" w:rsidRDefault="00D40662" w:rsidP="0018795E">
      <w:pPr>
        <w:pStyle w:val="NormalnyWeb"/>
        <w:rPr>
          <w:rFonts w:ascii="Bookman Old Style,Bold" w:hAnsi="Bookman Old Style,Bold"/>
          <w:b/>
          <w:bCs/>
          <w:sz w:val="16"/>
          <w:szCs w:val="16"/>
        </w:rPr>
      </w:pPr>
      <w:r>
        <w:rPr>
          <w:rFonts w:ascii="Book Antiqua" w:hAnsi="Book Antiqua"/>
          <w:i/>
          <w:iCs/>
          <w:noProof/>
          <w:sz w:val="11"/>
          <w:szCs w:val="11"/>
        </w:rPr>
        <mc:AlternateContent>
          <mc:Choice Requires="wps">
            <w:drawing>
              <wp:anchor distT="0" distB="0" distL="114300" distR="114300" simplePos="0" relativeHeight="251659264" behindDoc="0" locked="0" layoutInCell="1" allowOverlap="1" wp14:anchorId="2776B8C3" wp14:editId="01CE0007">
                <wp:simplePos x="0" y="0"/>
                <wp:positionH relativeFrom="column">
                  <wp:posOffset>-78302</wp:posOffset>
                </wp:positionH>
                <wp:positionV relativeFrom="paragraph">
                  <wp:posOffset>320655</wp:posOffset>
                </wp:positionV>
                <wp:extent cx="762815" cy="821493"/>
                <wp:effectExtent l="0" t="0" r="0" b="4445"/>
                <wp:wrapNone/>
                <wp:docPr id="6" name="Pole tekstowe 6"/>
                <wp:cNvGraphicFramePr/>
                <a:graphic xmlns:a="http://schemas.openxmlformats.org/drawingml/2006/main">
                  <a:graphicData uri="http://schemas.microsoft.com/office/word/2010/wordprocessingShape">
                    <wps:wsp>
                      <wps:cNvSpPr txBox="1"/>
                      <wps:spPr>
                        <a:xfrm>
                          <a:off x="0" y="0"/>
                          <a:ext cx="762815" cy="821493"/>
                        </a:xfrm>
                        <a:prstGeom prst="rect">
                          <a:avLst/>
                        </a:prstGeom>
                        <a:solidFill>
                          <a:schemeClr val="lt1"/>
                        </a:solidFill>
                        <a:ln w="6350">
                          <a:noFill/>
                        </a:ln>
                      </wps:spPr>
                      <wps:txbx>
                        <w:txbxContent>
                          <w:p w14:paraId="1F444840" w14:textId="7CDE514D" w:rsidR="0018795E" w:rsidRDefault="00D40662">
                            <w:r w:rsidRPr="00FA061A">
                              <w:rPr>
                                <w:rFonts w:ascii="Times New Roman" w:eastAsia="Times New Roman" w:hAnsi="Times New Roman" w:cs="Times New Roman"/>
                                <w:sz w:val="24"/>
                                <w:szCs w:val="24"/>
                                <w:lang w:eastAsia="pl-PL"/>
                              </w:rPr>
                              <w:fldChar w:fldCharType="begin"/>
                            </w:r>
                            <w:r w:rsidRPr="00FA061A">
                              <w:rPr>
                                <w:rFonts w:ascii="Times New Roman" w:eastAsia="Times New Roman" w:hAnsi="Times New Roman" w:cs="Times New Roman"/>
                                <w:sz w:val="24"/>
                                <w:szCs w:val="24"/>
                                <w:lang w:eastAsia="pl-PL"/>
                              </w:rPr>
                              <w:instrText xml:space="preserve"> INCLUDEPICTURE "/var/folders/1p/0ktbnpm91ws_7n6z3wx9ltqr0000gn/T/com.microsoft.Word/WebArchiveCopyPasteTempFiles/page9image1425463712" \* MERGEFORMATINET </w:instrText>
                            </w:r>
                            <w:r w:rsidRPr="00FA061A">
                              <w:rPr>
                                <w:rFonts w:ascii="Times New Roman" w:eastAsia="Times New Roman" w:hAnsi="Times New Roman" w:cs="Times New Roman"/>
                                <w:sz w:val="24"/>
                                <w:szCs w:val="24"/>
                                <w:lang w:eastAsia="pl-PL"/>
                              </w:rPr>
                              <w:fldChar w:fldCharType="separate"/>
                            </w:r>
                            <w:r w:rsidRPr="00FA061A">
                              <w:rPr>
                                <w:rFonts w:ascii="Times New Roman" w:eastAsia="Times New Roman" w:hAnsi="Times New Roman" w:cs="Times New Roman"/>
                                <w:noProof/>
                                <w:sz w:val="24"/>
                                <w:szCs w:val="24"/>
                                <w:lang w:eastAsia="pl-PL"/>
                              </w:rPr>
                              <w:drawing>
                                <wp:inline distT="0" distB="0" distL="0" distR="0" wp14:anchorId="77E1F36D" wp14:editId="32449190">
                                  <wp:extent cx="534035" cy="727710"/>
                                  <wp:effectExtent l="0" t="0" r="0" b="0"/>
                                  <wp:docPr id="2" name="Obraz 2" descr="page9image142546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image14254637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408" cy="739120"/>
                                          </a:xfrm>
                                          <a:prstGeom prst="rect">
                                            <a:avLst/>
                                          </a:prstGeom>
                                          <a:noFill/>
                                          <a:ln>
                                            <a:noFill/>
                                          </a:ln>
                                        </pic:spPr>
                                      </pic:pic>
                                    </a:graphicData>
                                  </a:graphic>
                                </wp:inline>
                              </w:drawing>
                            </w:r>
                            <w:r w:rsidRPr="00FA061A">
                              <w:rPr>
                                <w:rFonts w:ascii="Times New Roman" w:eastAsia="Times New Roman" w:hAnsi="Times New Roman" w:cs="Times New Roman"/>
                                <w:sz w:val="24"/>
                                <w:szCs w:val="24"/>
                                <w:lang w:eastAsia="pl-P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6B8C3" id="_x0000_t202" coordsize="21600,21600" o:spt="202" path="m,l,21600r21600,l21600,xe">
                <v:stroke joinstyle="miter"/>
                <v:path gradientshapeok="t" o:connecttype="rect"/>
              </v:shapetype>
              <v:shape id="Pole tekstowe 6" o:spid="_x0000_s1026" type="#_x0000_t202" style="position:absolute;margin-left:-6.15pt;margin-top:25.25pt;width:60.05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" fillcolor="white [3201]" stroked="f" strokeweight=".5pt">
                <v:textbox>
                  <w:txbxContent>
                    <w:p w14:paraId="1F444840" w14:textId="7CDE514D" w:rsidR="0018795E" w:rsidRDefault="00D40662">
                      <w:r w:rsidRPr="00FA061A">
                        <w:rPr>
                          <w:rFonts w:ascii="Times New Roman" w:eastAsia="Times New Roman" w:hAnsi="Times New Roman" w:cs="Times New Roman"/>
                          <w:sz w:val="24"/>
                          <w:szCs w:val="24"/>
                          <w:lang w:eastAsia="pl-PL"/>
                        </w:rPr>
                        <w:fldChar w:fldCharType="begin"/>
                      </w:r>
                      <w:r w:rsidRPr="00FA061A">
                        <w:rPr>
                          <w:rFonts w:ascii="Times New Roman" w:eastAsia="Times New Roman" w:hAnsi="Times New Roman" w:cs="Times New Roman"/>
                          <w:sz w:val="24"/>
                          <w:szCs w:val="24"/>
                          <w:lang w:eastAsia="pl-PL"/>
                        </w:rPr>
                        <w:instrText xml:space="preserve"> INCLUDEPICTURE "/var/folders/1p/0ktbnpm91ws_7n6z3wx9ltqr0000gn/T/com.microsoft.Word/WebArchiveCopyPasteTempFiles/page9image1425463712" \* MERGEFORMATINET </w:instrText>
                      </w:r>
                      <w:r w:rsidRPr="00FA061A">
                        <w:rPr>
                          <w:rFonts w:ascii="Times New Roman" w:eastAsia="Times New Roman" w:hAnsi="Times New Roman" w:cs="Times New Roman"/>
                          <w:sz w:val="24"/>
                          <w:szCs w:val="24"/>
                          <w:lang w:eastAsia="pl-PL"/>
                        </w:rPr>
                        <w:fldChar w:fldCharType="separate"/>
                      </w:r>
                      <w:r w:rsidRPr="00FA061A">
                        <w:rPr>
                          <w:rFonts w:ascii="Times New Roman" w:eastAsia="Times New Roman" w:hAnsi="Times New Roman" w:cs="Times New Roman"/>
                          <w:noProof/>
                          <w:sz w:val="24"/>
                          <w:szCs w:val="24"/>
                          <w:lang w:eastAsia="pl-PL"/>
                        </w:rPr>
                        <w:drawing>
                          <wp:inline distT="0" distB="0" distL="0" distR="0" wp14:anchorId="77E1F36D" wp14:editId="32449190">
                            <wp:extent cx="534035" cy="727710"/>
                            <wp:effectExtent l="0" t="0" r="0" b="0"/>
                            <wp:docPr id="2" name="Obraz 2" descr="page9image142546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image14254637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408" cy="739120"/>
                                    </a:xfrm>
                                    <a:prstGeom prst="rect">
                                      <a:avLst/>
                                    </a:prstGeom>
                                    <a:noFill/>
                                    <a:ln>
                                      <a:noFill/>
                                    </a:ln>
                                  </pic:spPr>
                                </pic:pic>
                              </a:graphicData>
                            </a:graphic>
                          </wp:inline>
                        </w:drawing>
                      </w:r>
                      <w:r w:rsidRPr="00FA061A">
                        <w:rPr>
                          <w:rFonts w:ascii="Times New Roman" w:eastAsia="Times New Roman" w:hAnsi="Times New Roman" w:cs="Times New Roman"/>
                          <w:sz w:val="24"/>
                          <w:szCs w:val="24"/>
                          <w:lang w:eastAsia="pl-PL"/>
                        </w:rPr>
                        <w:fldChar w:fldCharType="end"/>
                      </w:r>
                    </w:p>
                  </w:txbxContent>
                </v:textbox>
              </v:shape>
            </w:pict>
          </mc:Fallback>
        </mc:AlternateContent>
      </w:r>
      <w:r w:rsidR="00FA061A" w:rsidRPr="00FA061A">
        <w:rPr>
          <w:rFonts w:ascii="Bookman Old Style,Bold" w:hAnsi="Bookman Old Style,Bold"/>
          <w:b/>
          <w:bCs/>
          <w:sz w:val="16"/>
          <w:szCs w:val="16"/>
        </w:rPr>
        <w:t xml:space="preserve">minister ds. </w:t>
      </w:r>
      <w:r w:rsidR="0018795E" w:rsidRPr="00FA061A">
        <w:rPr>
          <w:rFonts w:ascii="Bookman Old Style,Bold" w:hAnsi="Bookman Old Style,Bold"/>
          <w:b/>
          <w:bCs/>
          <w:sz w:val="16"/>
          <w:szCs w:val="16"/>
        </w:rPr>
        <w:t>przedsię</w:t>
      </w:r>
      <w:r w:rsidR="0018795E" w:rsidRPr="00FA061A">
        <w:rPr>
          <w:b/>
          <w:bCs/>
          <w:sz w:val="16"/>
          <w:szCs w:val="16"/>
        </w:rPr>
        <w:t>b</w:t>
      </w:r>
      <w:r w:rsidR="0018795E" w:rsidRPr="00FA061A">
        <w:rPr>
          <w:rFonts w:ascii="Bookman Old Style,Bold" w:hAnsi="Bookman Old Style,Bold"/>
          <w:b/>
          <w:bCs/>
          <w:sz w:val="16"/>
          <w:szCs w:val="16"/>
        </w:rPr>
        <w:t>iorczości</w:t>
      </w:r>
      <w:r w:rsidR="00FA061A" w:rsidRPr="00FA061A">
        <w:rPr>
          <w:rFonts w:ascii="Bookman Old Style,Bold" w:hAnsi="Bookman Old Style,Bold"/>
          <w:b/>
          <w:bCs/>
          <w:sz w:val="16"/>
          <w:szCs w:val="16"/>
        </w:rPr>
        <w:t xml:space="preserve"> i innowacji w Gospodarczym Gabinecie Cieni BCC</w:t>
      </w:r>
    </w:p>
    <w:p w14:paraId="118B2EA3" w14:textId="70A8222A" w:rsidR="00FA061A" w:rsidRPr="0018795E" w:rsidRDefault="0018795E" w:rsidP="00D40662">
      <w:pPr>
        <w:pStyle w:val="NormalnyWeb"/>
        <w:ind w:left="1416"/>
        <w:jc w:val="both"/>
        <w:rPr>
          <w:rFonts w:ascii="Book Antiqua" w:hAnsi="Book Antiqua"/>
          <w:i/>
          <w:iCs/>
          <w:sz w:val="11"/>
          <w:szCs w:val="11"/>
        </w:rPr>
      </w:pPr>
      <w:r w:rsidRPr="0018795E">
        <w:rPr>
          <w:rFonts w:ascii="Book Antiqua" w:hAnsi="Book Antiqua"/>
          <w:i/>
          <w:iCs/>
          <w:sz w:val="11"/>
          <w:szCs w:val="11"/>
        </w:rPr>
        <w:t>Posiada wieloletnie doświadczenie w zakresie</w:t>
      </w:r>
      <w:r w:rsidRPr="0018795E">
        <w:rPr>
          <w:rFonts w:ascii="Book Antiqua" w:hAnsi="Book Antiqua"/>
          <w:i/>
          <w:iCs/>
          <w:sz w:val="11"/>
          <w:szCs w:val="11"/>
        </w:rPr>
        <w:t xml:space="preserve"> </w:t>
      </w:r>
      <w:r w:rsidRPr="0018795E">
        <w:rPr>
          <w:rFonts w:ascii="Book Antiqua" w:hAnsi="Book Antiqua"/>
          <w:i/>
          <w:iCs/>
          <w:sz w:val="11"/>
          <w:szCs w:val="11"/>
        </w:rPr>
        <w:t>przygotowywanie i zarządzania programami i projektami pomocowymi</w:t>
      </w:r>
      <w:r w:rsidRPr="0018795E">
        <w:rPr>
          <w:rFonts w:ascii="Book Antiqua" w:hAnsi="Book Antiqua"/>
          <w:i/>
          <w:iCs/>
          <w:sz w:val="11"/>
          <w:szCs w:val="11"/>
        </w:rPr>
        <w:t xml:space="preserve"> </w:t>
      </w:r>
      <w:r w:rsidRPr="0018795E">
        <w:rPr>
          <w:rFonts w:ascii="Book Antiqua" w:hAnsi="Book Antiqua"/>
          <w:i/>
          <w:iCs/>
          <w:sz w:val="11"/>
          <w:szCs w:val="11"/>
        </w:rPr>
        <w:t>finansowanymi ze środków publicznych. W latach 2008-2016 pełniła funkcje zastępcy</w:t>
      </w:r>
      <w:r w:rsidRPr="0018795E">
        <w:rPr>
          <w:rFonts w:ascii="Book Antiqua" w:hAnsi="Book Antiqua"/>
          <w:i/>
          <w:iCs/>
          <w:sz w:val="11"/>
          <w:szCs w:val="11"/>
        </w:rPr>
        <w:t xml:space="preserve"> </w:t>
      </w:r>
      <w:r w:rsidRPr="0018795E">
        <w:rPr>
          <w:rFonts w:ascii="Book Antiqua" w:hAnsi="Book Antiqua"/>
          <w:i/>
          <w:iCs/>
          <w:sz w:val="11"/>
          <w:szCs w:val="11"/>
        </w:rPr>
        <w:t>prezesa i prezesa w Polskiej Agencji Rozwoju Przedsiębiorczości, gdzie nadzorowała liczne</w:t>
      </w:r>
      <w:r w:rsidRPr="0018795E">
        <w:rPr>
          <w:rFonts w:ascii="Book Antiqua" w:hAnsi="Book Antiqua"/>
          <w:i/>
          <w:iCs/>
          <w:sz w:val="11"/>
          <w:szCs w:val="11"/>
        </w:rPr>
        <w:t xml:space="preserve"> </w:t>
      </w:r>
      <w:r w:rsidRPr="0018795E">
        <w:rPr>
          <w:rFonts w:ascii="Book Antiqua" w:hAnsi="Book Antiqua"/>
          <w:i/>
          <w:iCs/>
          <w:sz w:val="11"/>
          <w:szCs w:val="11"/>
        </w:rPr>
        <w:t>programy i projekty dla startupów i innowacyjnych przedsiębiorstw. Jako doradca biznesowy</w:t>
      </w:r>
      <w:r w:rsidRPr="0018795E">
        <w:rPr>
          <w:rFonts w:ascii="Book Antiqua" w:hAnsi="Book Antiqua"/>
          <w:i/>
          <w:iCs/>
          <w:sz w:val="11"/>
          <w:szCs w:val="11"/>
        </w:rPr>
        <w:t xml:space="preserve"> </w:t>
      </w:r>
      <w:r w:rsidRPr="0018795E">
        <w:rPr>
          <w:rFonts w:ascii="Book Antiqua" w:hAnsi="Book Antiqua"/>
          <w:i/>
          <w:iCs/>
          <w:sz w:val="11"/>
          <w:szCs w:val="11"/>
        </w:rPr>
        <w:t>(EY, własna działalność gospodarcza) realizowała i realizuje projekty doradcze związane z</w:t>
      </w:r>
      <w:r w:rsidRPr="0018795E">
        <w:rPr>
          <w:rFonts w:ascii="Book Antiqua" w:hAnsi="Book Antiqua"/>
          <w:i/>
          <w:iCs/>
          <w:sz w:val="11"/>
          <w:szCs w:val="11"/>
        </w:rPr>
        <w:t xml:space="preserve"> </w:t>
      </w:r>
      <w:r w:rsidRPr="0018795E">
        <w:rPr>
          <w:rFonts w:ascii="Book Antiqua" w:hAnsi="Book Antiqua"/>
          <w:i/>
          <w:iCs/>
          <w:sz w:val="11"/>
          <w:szCs w:val="11"/>
        </w:rPr>
        <w:t>rozwojem nowego produktu i rozwojem nowej organizacji biznesowej, optymalizacji</w:t>
      </w:r>
      <w:r w:rsidRPr="0018795E">
        <w:rPr>
          <w:rFonts w:ascii="Book Antiqua" w:hAnsi="Book Antiqua"/>
          <w:i/>
          <w:iCs/>
          <w:sz w:val="11"/>
          <w:szCs w:val="11"/>
        </w:rPr>
        <w:t xml:space="preserve"> </w:t>
      </w:r>
      <w:r w:rsidRPr="0018795E">
        <w:rPr>
          <w:rFonts w:ascii="Book Antiqua" w:hAnsi="Book Antiqua"/>
          <w:i/>
          <w:iCs/>
          <w:sz w:val="11"/>
          <w:szCs w:val="11"/>
        </w:rPr>
        <w:t>procesów biznesowych oraz finansowaniem projektów rozwojowych (od pomysłu</w:t>
      </w:r>
      <w:r w:rsidRPr="0018795E">
        <w:rPr>
          <w:rFonts w:ascii="Book Antiqua" w:hAnsi="Book Antiqua"/>
          <w:i/>
          <w:iCs/>
          <w:sz w:val="11"/>
          <w:szCs w:val="11"/>
        </w:rPr>
        <w:t xml:space="preserve"> </w:t>
      </w:r>
      <w:r w:rsidRPr="0018795E">
        <w:rPr>
          <w:rFonts w:ascii="Book Antiqua" w:hAnsi="Book Antiqua"/>
          <w:i/>
          <w:iCs/>
          <w:sz w:val="11"/>
          <w:szCs w:val="11"/>
        </w:rPr>
        <w:t xml:space="preserve">biznesowego po pozyskanie i optymalizację finansowania). Uczestniczyła jako </w:t>
      </w:r>
      <w:proofErr w:type="spellStart"/>
      <w:r w:rsidRPr="0018795E">
        <w:rPr>
          <w:rFonts w:ascii="Book Antiqua" w:hAnsi="Book Antiqua"/>
          <w:i/>
          <w:iCs/>
          <w:sz w:val="11"/>
          <w:szCs w:val="11"/>
        </w:rPr>
        <w:t>panelista</w:t>
      </w:r>
      <w:proofErr w:type="spellEnd"/>
      <w:r w:rsidRPr="0018795E">
        <w:rPr>
          <w:rFonts w:ascii="Book Antiqua" w:hAnsi="Book Antiqua"/>
          <w:i/>
          <w:iCs/>
          <w:sz w:val="11"/>
          <w:szCs w:val="11"/>
        </w:rPr>
        <w:t>,</w:t>
      </w:r>
      <w:r w:rsidRPr="0018795E">
        <w:rPr>
          <w:rFonts w:ascii="Book Antiqua" w:hAnsi="Book Antiqua"/>
          <w:i/>
          <w:iCs/>
          <w:sz w:val="11"/>
          <w:szCs w:val="11"/>
        </w:rPr>
        <w:t xml:space="preserve"> </w:t>
      </w:r>
      <w:r w:rsidRPr="0018795E">
        <w:rPr>
          <w:rFonts w:ascii="Book Antiqua" w:hAnsi="Book Antiqua"/>
          <w:i/>
          <w:iCs/>
          <w:sz w:val="11"/>
          <w:szCs w:val="11"/>
        </w:rPr>
        <w:t>juror, członek komisji oceniającej oraz mentor w licznych konkursach dla projektów</w:t>
      </w:r>
      <w:r w:rsidRPr="0018795E">
        <w:rPr>
          <w:rFonts w:ascii="Book Antiqua" w:hAnsi="Book Antiqua"/>
          <w:i/>
          <w:iCs/>
          <w:sz w:val="11"/>
          <w:szCs w:val="11"/>
        </w:rPr>
        <w:t xml:space="preserve"> </w:t>
      </w:r>
      <w:r w:rsidRPr="0018795E">
        <w:rPr>
          <w:rFonts w:ascii="Book Antiqua" w:hAnsi="Book Antiqua"/>
          <w:i/>
          <w:iCs/>
          <w:sz w:val="11"/>
          <w:szCs w:val="11"/>
        </w:rPr>
        <w:t xml:space="preserve">innowacyjnych i startupów oraz programach akceleracyjnych m. innymi </w:t>
      </w:r>
      <w:proofErr w:type="spellStart"/>
      <w:r w:rsidRPr="0018795E">
        <w:rPr>
          <w:rFonts w:ascii="Book Antiqua" w:hAnsi="Book Antiqua"/>
          <w:i/>
          <w:iCs/>
          <w:sz w:val="11"/>
          <w:szCs w:val="11"/>
        </w:rPr>
        <w:t>European</w:t>
      </w:r>
      <w:proofErr w:type="spellEnd"/>
      <w:r w:rsidRPr="0018795E">
        <w:rPr>
          <w:rFonts w:ascii="Book Antiqua" w:hAnsi="Book Antiqua"/>
          <w:i/>
          <w:iCs/>
          <w:sz w:val="11"/>
          <w:szCs w:val="11"/>
        </w:rPr>
        <w:t xml:space="preserve"> Business</w:t>
      </w:r>
      <w:r w:rsidRPr="0018795E">
        <w:rPr>
          <w:rFonts w:ascii="Book Antiqua" w:hAnsi="Book Antiqua"/>
          <w:i/>
          <w:iCs/>
          <w:sz w:val="11"/>
          <w:szCs w:val="11"/>
        </w:rPr>
        <w:t xml:space="preserve"> </w:t>
      </w:r>
      <w:proofErr w:type="spellStart"/>
      <w:r w:rsidRPr="0018795E">
        <w:rPr>
          <w:rFonts w:ascii="Book Antiqua" w:hAnsi="Book Antiqua"/>
          <w:i/>
          <w:iCs/>
          <w:sz w:val="11"/>
          <w:szCs w:val="11"/>
        </w:rPr>
        <w:t>Award</w:t>
      </w:r>
      <w:proofErr w:type="spellEnd"/>
      <w:r w:rsidRPr="0018795E">
        <w:rPr>
          <w:rFonts w:ascii="Book Antiqua" w:hAnsi="Book Antiqua"/>
          <w:i/>
          <w:iCs/>
          <w:sz w:val="11"/>
          <w:szCs w:val="11"/>
        </w:rPr>
        <w:t>, Polski Produkt Przyszłości (PARP), Narodowy Program Przedsiębiorczości (PARP),</w:t>
      </w:r>
      <w:r w:rsidRPr="0018795E">
        <w:rPr>
          <w:rFonts w:ascii="Book Antiqua" w:hAnsi="Book Antiqua"/>
          <w:i/>
          <w:iCs/>
          <w:sz w:val="11"/>
          <w:szCs w:val="11"/>
        </w:rPr>
        <w:t xml:space="preserve"> </w:t>
      </w:r>
      <w:proofErr w:type="spellStart"/>
      <w:r w:rsidRPr="0018795E">
        <w:rPr>
          <w:rFonts w:ascii="Book Antiqua" w:hAnsi="Book Antiqua"/>
          <w:i/>
          <w:iCs/>
          <w:sz w:val="11"/>
          <w:szCs w:val="11"/>
        </w:rPr>
        <w:t>GovTech</w:t>
      </w:r>
      <w:proofErr w:type="spellEnd"/>
      <w:r w:rsidRPr="0018795E">
        <w:rPr>
          <w:rFonts w:ascii="Book Antiqua" w:hAnsi="Book Antiqua"/>
          <w:i/>
          <w:iCs/>
          <w:sz w:val="11"/>
          <w:szCs w:val="11"/>
        </w:rPr>
        <w:t>. Członek Rad Uczelni (S</w:t>
      </w:r>
      <w:r w:rsidRPr="0018795E">
        <w:rPr>
          <w:rFonts w:ascii="Book Antiqua" w:hAnsi="Book Antiqua"/>
          <w:i/>
          <w:iCs/>
          <w:sz w:val="11"/>
          <w:szCs w:val="11"/>
        </w:rPr>
        <w:t xml:space="preserve">zkoła </w:t>
      </w:r>
      <w:r w:rsidRPr="0018795E">
        <w:rPr>
          <w:rFonts w:ascii="Book Antiqua" w:hAnsi="Book Antiqua"/>
          <w:i/>
          <w:iCs/>
          <w:sz w:val="11"/>
          <w:szCs w:val="11"/>
        </w:rPr>
        <w:t>G</w:t>
      </w:r>
      <w:r w:rsidRPr="0018795E">
        <w:rPr>
          <w:rFonts w:ascii="Book Antiqua" w:hAnsi="Book Antiqua"/>
          <w:i/>
          <w:iCs/>
          <w:sz w:val="11"/>
          <w:szCs w:val="11"/>
        </w:rPr>
        <w:t xml:space="preserve">łówna </w:t>
      </w:r>
      <w:r w:rsidRPr="0018795E">
        <w:rPr>
          <w:rFonts w:ascii="Book Antiqua" w:hAnsi="Book Antiqua"/>
          <w:i/>
          <w:iCs/>
          <w:sz w:val="11"/>
          <w:szCs w:val="11"/>
        </w:rPr>
        <w:t>H</w:t>
      </w:r>
      <w:r w:rsidRPr="0018795E">
        <w:rPr>
          <w:rFonts w:ascii="Book Antiqua" w:hAnsi="Book Antiqua"/>
          <w:i/>
          <w:iCs/>
          <w:sz w:val="11"/>
          <w:szCs w:val="11"/>
        </w:rPr>
        <w:t>andlowa</w:t>
      </w:r>
      <w:r w:rsidRPr="0018795E">
        <w:rPr>
          <w:rFonts w:ascii="Book Antiqua" w:hAnsi="Book Antiqua"/>
          <w:i/>
          <w:iCs/>
          <w:sz w:val="11"/>
          <w:szCs w:val="11"/>
        </w:rPr>
        <w:t>, U</w:t>
      </w:r>
      <w:r w:rsidRPr="0018795E">
        <w:rPr>
          <w:rFonts w:ascii="Book Antiqua" w:hAnsi="Book Antiqua"/>
          <w:i/>
          <w:iCs/>
          <w:sz w:val="11"/>
          <w:szCs w:val="11"/>
        </w:rPr>
        <w:t xml:space="preserve">niwersytet </w:t>
      </w:r>
      <w:r w:rsidRPr="0018795E">
        <w:rPr>
          <w:rFonts w:ascii="Book Antiqua" w:hAnsi="Book Antiqua"/>
          <w:i/>
          <w:iCs/>
          <w:sz w:val="11"/>
          <w:szCs w:val="11"/>
        </w:rPr>
        <w:t>P</w:t>
      </w:r>
      <w:r w:rsidRPr="0018795E">
        <w:rPr>
          <w:rFonts w:ascii="Book Antiqua" w:hAnsi="Book Antiqua"/>
          <w:i/>
          <w:iCs/>
          <w:sz w:val="11"/>
          <w:szCs w:val="11"/>
        </w:rPr>
        <w:t>rzyrodniczy w</w:t>
      </w:r>
      <w:r w:rsidRPr="0018795E">
        <w:rPr>
          <w:rFonts w:ascii="Book Antiqua" w:hAnsi="Book Antiqua"/>
          <w:i/>
          <w:iCs/>
          <w:sz w:val="11"/>
          <w:szCs w:val="11"/>
        </w:rPr>
        <w:t xml:space="preserve"> Lublin</w:t>
      </w:r>
      <w:r w:rsidRPr="0018795E">
        <w:rPr>
          <w:rFonts w:ascii="Book Antiqua" w:hAnsi="Book Antiqua"/>
          <w:i/>
          <w:iCs/>
          <w:sz w:val="11"/>
          <w:szCs w:val="11"/>
        </w:rPr>
        <w:t>ie</w:t>
      </w:r>
      <w:r w:rsidRPr="0018795E">
        <w:rPr>
          <w:rFonts w:ascii="Book Antiqua" w:hAnsi="Book Antiqua"/>
          <w:i/>
          <w:iCs/>
          <w:sz w:val="11"/>
          <w:szCs w:val="11"/>
        </w:rPr>
        <w:t>), Komitetu Monitorującego Programu</w:t>
      </w:r>
      <w:r w:rsidRPr="0018795E">
        <w:rPr>
          <w:rFonts w:ascii="Book Antiqua" w:hAnsi="Book Antiqua"/>
          <w:i/>
          <w:iCs/>
          <w:sz w:val="11"/>
          <w:szCs w:val="11"/>
        </w:rPr>
        <w:t xml:space="preserve"> </w:t>
      </w:r>
      <w:r w:rsidRPr="0018795E">
        <w:rPr>
          <w:rFonts w:ascii="Book Antiqua" w:hAnsi="Book Antiqua"/>
          <w:i/>
          <w:iCs/>
          <w:sz w:val="11"/>
          <w:szCs w:val="11"/>
        </w:rPr>
        <w:t>Operacyjnego Inteligentny Rozwoju i Mazowieckiej Rady ds. Innowacyjności.</w:t>
      </w:r>
    </w:p>
    <w:p w14:paraId="2388CF93" w14:textId="2580A99E" w:rsidR="00FA061A" w:rsidRPr="0018795E" w:rsidRDefault="0018795E" w:rsidP="00D40662">
      <w:pPr>
        <w:pStyle w:val="NormalnyWeb"/>
        <w:ind w:left="4956"/>
        <w:rPr>
          <w:sz w:val="22"/>
          <w:szCs w:val="22"/>
        </w:rPr>
      </w:pPr>
      <w:r w:rsidRPr="0018795E">
        <w:rPr>
          <w:rFonts w:ascii="Bookman Old Style" w:hAnsi="Bookman Old Style"/>
          <w:b/>
          <w:sz w:val="13"/>
          <w:szCs w:val="13"/>
        </w:rPr>
        <w:sym w:font="Wingdings 2" w:char="F027"/>
      </w:r>
      <w:r w:rsidRPr="0018795E">
        <w:rPr>
          <w:rFonts w:ascii="Bookman Old Style" w:hAnsi="Bookman Old Style"/>
          <w:b/>
          <w:sz w:val="13"/>
          <w:szCs w:val="13"/>
        </w:rPr>
        <w:t xml:space="preserve"> </w:t>
      </w:r>
      <w:r w:rsidR="00FA061A" w:rsidRPr="0018795E">
        <w:rPr>
          <w:rFonts w:ascii="Bookman Old Style,Bold" w:hAnsi="Bookman Old Style,Bold"/>
          <w:sz w:val="12"/>
          <w:szCs w:val="13"/>
        </w:rPr>
        <w:t>66</w:t>
      </w:r>
      <w:r w:rsidR="00FA061A" w:rsidRPr="0018795E">
        <w:rPr>
          <w:rFonts w:ascii="Bookman Old Style,Bold" w:hAnsi="Bookman Old Style,Bold"/>
          <w:sz w:val="12"/>
          <w:szCs w:val="13"/>
        </w:rPr>
        <w:t>7</w:t>
      </w:r>
      <w:r w:rsidR="00FA061A" w:rsidRPr="0018795E">
        <w:rPr>
          <w:rFonts w:ascii="Bookman Old Style,Bold" w:hAnsi="Bookman Old Style,Bold"/>
          <w:sz w:val="12"/>
          <w:szCs w:val="13"/>
        </w:rPr>
        <w:t xml:space="preserve"> </w:t>
      </w:r>
      <w:r w:rsidR="00FA061A" w:rsidRPr="0018795E">
        <w:rPr>
          <w:rFonts w:ascii="Bookman Old Style,Bold" w:hAnsi="Bookman Old Style,Bold"/>
          <w:sz w:val="12"/>
          <w:szCs w:val="13"/>
        </w:rPr>
        <w:t>7</w:t>
      </w:r>
      <w:r w:rsidR="00FA061A" w:rsidRPr="0018795E">
        <w:rPr>
          <w:rFonts w:ascii="Bookman Old Style,Bold" w:hAnsi="Bookman Old Style,Bold"/>
          <w:sz w:val="12"/>
          <w:szCs w:val="13"/>
        </w:rPr>
        <w:t>6</w:t>
      </w:r>
      <w:r w:rsidR="00FA061A" w:rsidRPr="0018795E">
        <w:rPr>
          <w:rFonts w:ascii="Bookman Old Style,Bold" w:hAnsi="Bookman Old Style,Bold"/>
          <w:sz w:val="12"/>
          <w:szCs w:val="13"/>
        </w:rPr>
        <w:t>6</w:t>
      </w:r>
      <w:r w:rsidR="00FA061A" w:rsidRPr="0018795E">
        <w:rPr>
          <w:rFonts w:ascii="Bookman Old Style,Bold" w:hAnsi="Bookman Old Style,Bold"/>
          <w:sz w:val="12"/>
          <w:szCs w:val="13"/>
        </w:rPr>
        <w:t xml:space="preserve"> </w:t>
      </w:r>
      <w:r w:rsidR="00FA061A" w:rsidRPr="0018795E">
        <w:rPr>
          <w:rFonts w:ascii="Bookman Old Style,Bold" w:hAnsi="Bookman Old Style,Bold"/>
          <w:sz w:val="12"/>
          <w:szCs w:val="13"/>
        </w:rPr>
        <w:t>700</w:t>
      </w:r>
      <w:r w:rsidR="00FA061A" w:rsidRPr="0018795E">
        <w:rPr>
          <w:rFonts w:ascii="Bookman Old Style,Bold" w:hAnsi="Bookman Old Style,Bold"/>
          <w:sz w:val="12"/>
          <w:szCs w:val="13"/>
        </w:rPr>
        <w:t xml:space="preserve"> </w:t>
      </w:r>
      <w:r w:rsidR="00FA061A" w:rsidRPr="0018795E">
        <w:rPr>
          <w:rFonts w:ascii="Wingdings" w:hAnsi="Wingdings"/>
          <w:sz w:val="13"/>
          <w:szCs w:val="13"/>
        </w:rPr>
        <w:t xml:space="preserve"> </w:t>
      </w:r>
      <w:r w:rsidRPr="0018795E">
        <w:rPr>
          <w:rFonts w:ascii="Bookman Old Style" w:hAnsi="Bookman Old Style"/>
          <w:b/>
          <w:sz w:val="13"/>
          <w:szCs w:val="13"/>
        </w:rPr>
        <w:sym w:font="Wingdings" w:char="F02A"/>
      </w:r>
      <w:r w:rsidRPr="0018795E">
        <w:rPr>
          <w:rFonts w:ascii="Bookman Old Style" w:hAnsi="Bookman Old Style"/>
          <w:b/>
          <w:sz w:val="13"/>
          <w:szCs w:val="13"/>
        </w:rPr>
        <w:t xml:space="preserve"> </w:t>
      </w:r>
      <w:r w:rsidR="00FA061A" w:rsidRPr="0018795E">
        <w:rPr>
          <w:rFonts w:ascii="Bookman Old Style,Bold" w:hAnsi="Bookman Old Style,Bold"/>
          <w:sz w:val="12"/>
          <w:szCs w:val="13"/>
        </w:rPr>
        <w:t xml:space="preserve">bozena.lublinska-kasprzak@bcc.org.pl </w:t>
      </w:r>
    </w:p>
    <w:p w14:paraId="770734CE" w14:textId="600C3803" w:rsidR="008E6F63" w:rsidRPr="001F0603" w:rsidRDefault="008E6F63" w:rsidP="00772113">
      <w:pPr>
        <w:spacing w:after="0" w:line="240" w:lineRule="auto"/>
        <w:jc w:val="both"/>
        <w:rPr>
          <w:b/>
          <w:sz w:val="16"/>
          <w:szCs w:val="16"/>
        </w:rPr>
      </w:pPr>
    </w:p>
    <w:tbl>
      <w:tblPr>
        <w:tblW w:w="0" w:type="auto"/>
        <w:tblInd w:w="108" w:type="dxa"/>
        <w:tblLayout w:type="fixed"/>
        <w:tblLook w:val="01E0" w:firstRow="1" w:lastRow="1" w:firstColumn="1" w:lastColumn="1" w:noHBand="0" w:noVBand="0"/>
      </w:tblPr>
      <w:tblGrid>
        <w:gridCol w:w="900"/>
      </w:tblGrid>
      <w:tr w:rsidR="00FA061A" w:rsidRPr="00F21FC5" w14:paraId="7DC9C3D4" w14:textId="77777777" w:rsidTr="00B71684">
        <w:tc>
          <w:tcPr>
            <w:tcW w:w="900" w:type="dxa"/>
          </w:tcPr>
          <w:p w14:paraId="6A81A823" w14:textId="1C823FF6" w:rsidR="00FA061A" w:rsidRPr="00F21FC5" w:rsidRDefault="00FA061A" w:rsidP="00B71684">
            <w:pPr>
              <w:spacing w:after="0" w:line="240" w:lineRule="auto"/>
              <w:jc w:val="right"/>
              <w:rPr>
                <w:rFonts w:ascii="Bookman Old Style" w:hAnsi="Bookman Old Style"/>
                <w:sz w:val="14"/>
                <w:szCs w:val="14"/>
              </w:rPr>
            </w:pPr>
          </w:p>
        </w:tc>
      </w:tr>
    </w:tbl>
    <w:tbl>
      <w:tblPr>
        <w:tblpPr w:leftFromText="141" w:rightFromText="141"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4F12" w:rsidRPr="00AD695D" w14:paraId="5856968E" w14:textId="77777777" w:rsidTr="00841F3F">
        <w:trPr>
          <w:trHeight w:val="510"/>
        </w:trPr>
        <w:tc>
          <w:tcPr>
            <w:tcW w:w="9212" w:type="dxa"/>
            <w:vAlign w:val="center"/>
          </w:tcPr>
          <w:p w14:paraId="733877BE" w14:textId="6031F264" w:rsidR="003B4F12" w:rsidRPr="00AD695D" w:rsidRDefault="003B4F12" w:rsidP="003B4F12">
            <w:pPr>
              <w:spacing w:before="60" w:after="60" w:line="240" w:lineRule="auto"/>
              <w:jc w:val="center"/>
              <w:rPr>
                <w:b/>
                <w:color w:val="FF0000"/>
                <w:sz w:val="24"/>
                <w:szCs w:val="24"/>
              </w:rPr>
            </w:pPr>
            <w:r w:rsidRPr="003B4F12">
              <w:rPr>
                <w:b/>
                <w:color w:val="000000" w:themeColor="text1"/>
                <w:sz w:val="24"/>
                <w:szCs w:val="24"/>
              </w:rPr>
              <w:t>REKOMENDACJE DLA RZĄDU</w:t>
            </w:r>
          </w:p>
        </w:tc>
      </w:tr>
      <w:tr w:rsidR="003B4F12" w:rsidRPr="00C56C54" w14:paraId="41520DD2" w14:textId="77777777" w:rsidTr="00D40662">
        <w:trPr>
          <w:trHeight w:val="557"/>
        </w:trPr>
        <w:tc>
          <w:tcPr>
            <w:tcW w:w="9212" w:type="dxa"/>
          </w:tcPr>
          <w:p w14:paraId="241E499F" w14:textId="77777777" w:rsidR="00D40662" w:rsidRDefault="00D40662" w:rsidP="00D40662">
            <w:pPr>
              <w:pStyle w:val="Akapitzlist"/>
              <w:spacing w:before="240" w:line="240" w:lineRule="auto"/>
              <w:ind w:left="284" w:right="62"/>
              <w:rPr>
                <w:rFonts w:ascii="Arial" w:hAnsi="Arial" w:cs="Arial"/>
                <w:sz w:val="18"/>
                <w:szCs w:val="18"/>
              </w:rPr>
            </w:pPr>
            <w:r w:rsidRPr="00D40662">
              <w:rPr>
                <w:rFonts w:ascii="Arial" w:hAnsi="Arial" w:cs="Arial"/>
                <w:sz w:val="18"/>
                <w:szCs w:val="18"/>
              </w:rPr>
              <w:t>Obecnie trwają prace nad kluczowymi przepisami, które będą regulować wdrażanie środków europejskich na kolejny okres budżetowy UE i które będą miały istotne znaczenie dla przyszłych wnioskodawców i beneficjentów programów tj. Ustawą o zasadach realizacji zadań finansowanych ze środków europejskich w perspektywie finansowej 2021-2027 (tzw. ustawą wdrożeniową). Ustawa będzie regulowała w Polsce nową, siedmioletnią perspektywę finansową Unii Europejskiej.  Ministerstwo Finansów, Funduszy i Polityki Regionalnej zakłada, że do sektora przedsiębiorstw trafi dofinansowanie unijne (włączając KPO) w kwocie około 140 mld zł, w tym połowa środków trafi do sektora mikro-, małych i średnich przedsiębiorstw, a połowa – do dużych przedsiębiorstw. Ustawa zawiera przepisy szczegółowe doprecyzowujące przepisy unijne lub wprowadzające niezbędne szczegółowe regulacje z punktu widzenia systemu prawa krajowego, m.in.</w:t>
            </w:r>
            <w:r>
              <w:rPr>
                <w:rFonts w:ascii="Arial" w:hAnsi="Arial" w:cs="Arial"/>
                <w:sz w:val="18"/>
                <w:szCs w:val="18"/>
              </w:rPr>
              <w:t xml:space="preserve"> </w:t>
            </w:r>
            <w:r w:rsidRPr="00D40662">
              <w:rPr>
                <w:rFonts w:ascii="Arial" w:hAnsi="Arial" w:cs="Arial"/>
                <w:sz w:val="18"/>
                <w:szCs w:val="18"/>
              </w:rPr>
              <w:t>w zakresie:</w:t>
            </w:r>
          </w:p>
          <w:p w14:paraId="24C8629C" w14:textId="77777777" w:rsidR="00D40662" w:rsidRDefault="00D40662" w:rsidP="00D40662">
            <w:pPr>
              <w:pStyle w:val="Akapitzlist"/>
              <w:numPr>
                <w:ilvl w:val="0"/>
                <w:numId w:val="20"/>
              </w:numPr>
              <w:spacing w:before="240" w:line="240" w:lineRule="auto"/>
              <w:ind w:right="62"/>
              <w:rPr>
                <w:rFonts w:ascii="Arial" w:hAnsi="Arial" w:cs="Arial"/>
                <w:sz w:val="18"/>
                <w:szCs w:val="18"/>
              </w:rPr>
            </w:pPr>
            <w:r w:rsidRPr="00D40662">
              <w:rPr>
                <w:rFonts w:ascii="Arial" w:hAnsi="Arial" w:cs="Arial"/>
                <w:sz w:val="18"/>
                <w:szCs w:val="18"/>
              </w:rPr>
              <w:t>systemu instytucjonalnego;</w:t>
            </w:r>
          </w:p>
          <w:p w14:paraId="69452377" w14:textId="77777777" w:rsidR="00D40662" w:rsidRDefault="00D40662" w:rsidP="00D40662">
            <w:pPr>
              <w:pStyle w:val="Akapitzlist"/>
              <w:numPr>
                <w:ilvl w:val="0"/>
                <w:numId w:val="20"/>
              </w:numPr>
              <w:spacing w:before="240" w:line="240" w:lineRule="auto"/>
              <w:ind w:right="62"/>
              <w:rPr>
                <w:rFonts w:ascii="Arial" w:hAnsi="Arial" w:cs="Arial"/>
                <w:sz w:val="18"/>
                <w:szCs w:val="18"/>
              </w:rPr>
            </w:pPr>
            <w:r w:rsidRPr="00D40662">
              <w:rPr>
                <w:rFonts w:ascii="Arial" w:hAnsi="Arial" w:cs="Arial"/>
                <w:sz w:val="18"/>
                <w:szCs w:val="18"/>
              </w:rPr>
              <w:t>kwestii finansowych związane m.in. z rozliczeniami z Komisją Europejską;</w:t>
            </w:r>
          </w:p>
          <w:p w14:paraId="6BE215B7" w14:textId="77777777" w:rsidR="00D40662" w:rsidRDefault="00D40662" w:rsidP="00D40662">
            <w:pPr>
              <w:pStyle w:val="Akapitzlist"/>
              <w:numPr>
                <w:ilvl w:val="0"/>
                <w:numId w:val="20"/>
              </w:numPr>
              <w:spacing w:before="240" w:line="240" w:lineRule="auto"/>
              <w:ind w:right="62"/>
              <w:rPr>
                <w:rFonts w:ascii="Arial" w:hAnsi="Arial" w:cs="Arial"/>
                <w:sz w:val="18"/>
                <w:szCs w:val="18"/>
              </w:rPr>
            </w:pPr>
            <w:r w:rsidRPr="00D40662">
              <w:rPr>
                <w:rFonts w:ascii="Arial" w:hAnsi="Arial" w:cs="Arial"/>
                <w:sz w:val="18"/>
                <w:szCs w:val="18"/>
              </w:rPr>
              <w:t>kwestii dotyczące kontroli, nieprawidłowości i nakładania korekt;</w:t>
            </w:r>
          </w:p>
          <w:p w14:paraId="71DA369C" w14:textId="77777777" w:rsidR="00D40662" w:rsidRDefault="00D40662" w:rsidP="00D40662">
            <w:pPr>
              <w:pStyle w:val="Akapitzlist"/>
              <w:numPr>
                <w:ilvl w:val="0"/>
                <w:numId w:val="20"/>
              </w:numPr>
              <w:spacing w:before="240" w:line="240" w:lineRule="auto"/>
              <w:ind w:right="62"/>
              <w:rPr>
                <w:rFonts w:ascii="Arial" w:hAnsi="Arial" w:cs="Arial"/>
                <w:sz w:val="18"/>
                <w:szCs w:val="18"/>
              </w:rPr>
            </w:pPr>
            <w:r w:rsidRPr="00D40662">
              <w:rPr>
                <w:rFonts w:ascii="Arial" w:hAnsi="Arial" w:cs="Arial"/>
                <w:sz w:val="18"/>
                <w:szCs w:val="18"/>
              </w:rPr>
              <w:t>zasady wyboru projektów i procedury odwoławczej;</w:t>
            </w:r>
          </w:p>
          <w:p w14:paraId="6BC90FEB" w14:textId="77777777" w:rsidR="00D40662" w:rsidRDefault="00D40662" w:rsidP="00D40662">
            <w:pPr>
              <w:pStyle w:val="Akapitzlist"/>
              <w:numPr>
                <w:ilvl w:val="0"/>
                <w:numId w:val="20"/>
              </w:numPr>
              <w:spacing w:before="240" w:line="240" w:lineRule="auto"/>
              <w:ind w:right="62"/>
              <w:rPr>
                <w:rFonts w:ascii="Arial" w:hAnsi="Arial" w:cs="Arial"/>
                <w:sz w:val="18"/>
                <w:szCs w:val="18"/>
              </w:rPr>
            </w:pPr>
            <w:r w:rsidRPr="00D40662">
              <w:rPr>
                <w:rFonts w:ascii="Arial" w:hAnsi="Arial" w:cs="Arial"/>
                <w:sz w:val="18"/>
                <w:szCs w:val="18"/>
              </w:rPr>
              <w:t>obowiązków związanych z unijną polityką e-</w:t>
            </w:r>
            <w:proofErr w:type="spellStart"/>
            <w:r w:rsidRPr="00D40662">
              <w:rPr>
                <w:rFonts w:ascii="Arial" w:hAnsi="Arial" w:cs="Arial"/>
                <w:sz w:val="18"/>
                <w:szCs w:val="18"/>
              </w:rPr>
              <w:t>Cohesion</w:t>
            </w:r>
            <w:proofErr w:type="spellEnd"/>
            <w:r w:rsidRPr="00D40662">
              <w:rPr>
                <w:rFonts w:ascii="Arial" w:hAnsi="Arial" w:cs="Arial"/>
                <w:sz w:val="18"/>
                <w:szCs w:val="18"/>
              </w:rPr>
              <w:t>;</w:t>
            </w:r>
          </w:p>
          <w:p w14:paraId="204569D4" w14:textId="77777777" w:rsidR="00D40662" w:rsidRDefault="00D40662" w:rsidP="00D40662">
            <w:pPr>
              <w:pStyle w:val="Akapitzlist"/>
              <w:numPr>
                <w:ilvl w:val="0"/>
                <w:numId w:val="20"/>
              </w:numPr>
              <w:spacing w:before="240" w:line="240" w:lineRule="auto"/>
              <w:ind w:right="62"/>
              <w:rPr>
                <w:rFonts w:ascii="Arial" w:hAnsi="Arial" w:cs="Arial"/>
                <w:sz w:val="18"/>
                <w:szCs w:val="18"/>
              </w:rPr>
            </w:pPr>
            <w:r w:rsidRPr="00D40662">
              <w:rPr>
                <w:rFonts w:ascii="Arial" w:hAnsi="Arial" w:cs="Arial"/>
                <w:sz w:val="18"/>
                <w:szCs w:val="18"/>
              </w:rPr>
              <w:t>mechanizmów umożliwiających realizację instrumentów terytorialnych wynikających z rozporządzeń Komisji Europejskiej (Zintegrowane Inwestycje Terytorialne, Inne Instrumenty Terytorialne);</w:t>
            </w:r>
          </w:p>
          <w:p w14:paraId="1F41B09D" w14:textId="43A4B1CA" w:rsidR="00D40662" w:rsidRPr="00D40662" w:rsidRDefault="00D40662" w:rsidP="00D40662">
            <w:pPr>
              <w:pStyle w:val="Akapitzlist"/>
              <w:numPr>
                <w:ilvl w:val="0"/>
                <w:numId w:val="20"/>
              </w:numPr>
              <w:spacing w:before="240" w:line="240" w:lineRule="auto"/>
              <w:ind w:right="62"/>
              <w:rPr>
                <w:rFonts w:ascii="Arial" w:hAnsi="Arial" w:cs="Arial"/>
                <w:sz w:val="18"/>
                <w:szCs w:val="18"/>
              </w:rPr>
            </w:pPr>
            <w:r w:rsidRPr="00D40662">
              <w:rPr>
                <w:rFonts w:ascii="Arial" w:hAnsi="Arial" w:cs="Arial"/>
                <w:sz w:val="18"/>
                <w:szCs w:val="18"/>
              </w:rPr>
              <w:t>zasad monitorowania postępu i sprawozdawczości z realizacji programów oraz projektów.</w:t>
            </w:r>
          </w:p>
          <w:p w14:paraId="7D28C7B9" w14:textId="15DCED33" w:rsidR="003B4F12" w:rsidRPr="00D40662" w:rsidRDefault="00D40662" w:rsidP="00D40662">
            <w:pPr>
              <w:pStyle w:val="Akapitzlist"/>
              <w:spacing w:before="240" w:line="240" w:lineRule="auto"/>
              <w:ind w:left="284" w:right="62"/>
              <w:rPr>
                <w:rFonts w:ascii="Arial" w:hAnsi="Arial" w:cs="Arial"/>
                <w:sz w:val="18"/>
                <w:szCs w:val="18"/>
              </w:rPr>
            </w:pPr>
            <w:r w:rsidRPr="00D40662">
              <w:rPr>
                <w:rFonts w:ascii="Arial" w:hAnsi="Arial" w:cs="Arial"/>
                <w:sz w:val="18"/>
                <w:szCs w:val="18"/>
              </w:rPr>
              <w:t xml:space="preserve">Ustawa w konsultacjach społecznych była procedowana w bardzo szybkim trybie, wiele zainteresowanych przygotowaniem uwag podmiotów nie miało szansy na solidne ich przygotowanie. W konsekwencji wiele ważnych kwestii dla wnioskodawców i beneficjentów, które mogą w istotny sposób wpłynąć na warunki składania wniosków i realizacji projektów nie zostało w ustawie uwzględnione. Dotyczy to m. innymi funkcjonowania systemów teleinformatycznych do obsługi programów, wytycznych dotyczących zasad realizacji projektów (w tym bardzo krótki termin konsultacji społecznych tego bardzo ważnego dokumentu), zasady budowania partnerstw dla projektów, kwestie kontroli projektów (bardzo szeroki zakres kontrolowanych, włączenie Policji i nowych technologii do kontroli projektów), rozstrzygnięcia dotyczące </w:t>
            </w:r>
            <w:r w:rsidRPr="00D40662">
              <w:rPr>
                <w:rFonts w:ascii="Arial" w:hAnsi="Arial" w:cs="Arial"/>
                <w:sz w:val="18"/>
                <w:szCs w:val="18"/>
              </w:rPr>
              <w:lastRenderedPageBreak/>
              <w:t>ekspertów. Rekomenduje się uwzględnienie postulatów środowisk gospodarczych dotyczących pożądanych zapisów ustawy wdrożeniowej</w:t>
            </w:r>
            <w:r w:rsidR="00F23C5C">
              <w:rPr>
                <w:rFonts w:ascii="Arial" w:hAnsi="Arial" w:cs="Arial"/>
                <w:sz w:val="18"/>
                <w:szCs w:val="18"/>
              </w:rPr>
              <w:t>.</w:t>
            </w:r>
          </w:p>
          <w:p w14:paraId="43236E7A" w14:textId="77777777" w:rsidR="003B4F12" w:rsidRPr="00C56C54" w:rsidRDefault="003B4F12" w:rsidP="001E5AE6">
            <w:pPr>
              <w:pStyle w:val="Akapitzlist"/>
              <w:spacing w:after="0" w:line="240" w:lineRule="auto"/>
              <w:ind w:left="284" w:right="62"/>
              <w:contextualSpacing w:val="0"/>
              <w:jc w:val="both"/>
              <w:rPr>
                <w:sz w:val="24"/>
                <w:szCs w:val="24"/>
              </w:rPr>
            </w:pPr>
          </w:p>
        </w:tc>
      </w:tr>
      <w:tr w:rsidR="003B4F12" w:rsidRPr="00AD695D" w14:paraId="1CC1B528" w14:textId="77777777" w:rsidTr="00841F3F">
        <w:trPr>
          <w:trHeight w:val="567"/>
        </w:trPr>
        <w:tc>
          <w:tcPr>
            <w:tcW w:w="9212" w:type="dxa"/>
            <w:vAlign w:val="center"/>
          </w:tcPr>
          <w:p w14:paraId="03E9006B" w14:textId="2A23682D" w:rsidR="003B4F12" w:rsidRPr="00AD695D" w:rsidRDefault="00D40662" w:rsidP="001E5AE6">
            <w:pPr>
              <w:spacing w:before="60" w:after="60" w:line="240" w:lineRule="auto"/>
              <w:jc w:val="center"/>
              <w:rPr>
                <w:b/>
                <w:color w:val="FF0000"/>
                <w:sz w:val="24"/>
                <w:szCs w:val="24"/>
              </w:rPr>
            </w:pPr>
            <w:r w:rsidRPr="00D40662">
              <w:rPr>
                <w:b/>
                <w:color w:val="000000" w:themeColor="text1"/>
              </w:rPr>
              <w:lastRenderedPageBreak/>
              <w:t xml:space="preserve">OCENA </w:t>
            </w:r>
            <w:r w:rsidR="001E5AE6" w:rsidRPr="00D40662">
              <w:rPr>
                <w:b/>
                <w:color w:val="000000" w:themeColor="text1"/>
              </w:rPr>
              <w:t xml:space="preserve">DOTYCHCZASOWYCH DZIAŁAŃ RZĄDU W OBSZARZE </w:t>
            </w:r>
            <w:r w:rsidRPr="00D40662">
              <w:rPr>
                <w:b/>
                <w:color w:val="000000" w:themeColor="text1"/>
              </w:rPr>
              <w:t>PRZEDSIĘBIORCZOŚCI I INNOWACJI</w:t>
            </w:r>
          </w:p>
        </w:tc>
      </w:tr>
      <w:tr w:rsidR="003B4F12" w:rsidRPr="001E5AE6" w14:paraId="023E8DFC" w14:textId="77777777" w:rsidTr="00841F3F">
        <w:trPr>
          <w:trHeight w:val="498"/>
        </w:trPr>
        <w:tc>
          <w:tcPr>
            <w:tcW w:w="9212" w:type="dxa"/>
          </w:tcPr>
          <w:p w14:paraId="4E4F806B" w14:textId="5E5A08D4" w:rsidR="003B4F12" w:rsidRDefault="001E5AE6" w:rsidP="00841F3F">
            <w:pPr>
              <w:spacing w:before="240" w:after="0" w:line="240" w:lineRule="auto"/>
              <w:ind w:right="62"/>
              <w:jc w:val="both"/>
              <w:rPr>
                <w:rFonts w:ascii="Arial" w:hAnsi="Arial" w:cs="Arial"/>
                <w:sz w:val="18"/>
                <w:szCs w:val="18"/>
              </w:rPr>
            </w:pPr>
            <w:r>
              <w:rPr>
                <w:rFonts w:ascii="Arial" w:hAnsi="Arial" w:cs="Arial"/>
                <w:sz w:val="18"/>
                <w:szCs w:val="18"/>
              </w:rPr>
              <w:t>Pozytywy</w:t>
            </w:r>
            <w:r w:rsidR="00D40662">
              <w:rPr>
                <w:rFonts w:ascii="Arial" w:hAnsi="Arial" w:cs="Arial"/>
                <w:sz w:val="18"/>
                <w:szCs w:val="18"/>
              </w:rPr>
              <w:t>:</w:t>
            </w:r>
          </w:p>
          <w:p w14:paraId="7D401391" w14:textId="77777777" w:rsidR="00D40662" w:rsidRDefault="00D40662" w:rsidP="00D40662">
            <w:pPr>
              <w:pStyle w:val="Akapitzlist"/>
              <w:numPr>
                <w:ilvl w:val="0"/>
                <w:numId w:val="22"/>
              </w:numPr>
              <w:spacing w:before="240" w:after="0" w:line="240" w:lineRule="auto"/>
              <w:ind w:right="62"/>
              <w:jc w:val="both"/>
              <w:rPr>
                <w:rFonts w:ascii="Arial" w:hAnsi="Arial" w:cs="Arial"/>
                <w:sz w:val="18"/>
                <w:szCs w:val="18"/>
              </w:rPr>
            </w:pPr>
            <w:r w:rsidRPr="00D40662">
              <w:rPr>
                <w:rFonts w:ascii="Arial" w:hAnsi="Arial" w:cs="Arial"/>
                <w:sz w:val="18"/>
                <w:szCs w:val="18"/>
              </w:rPr>
              <w:t xml:space="preserve">Wprowadzenie nowych ulg zachęcających do prowadzenia prac B+R i wdrażania innowacji oraz zatrudniania pracowników prowadzących prace B+R w Polskim Ładzie m. </w:t>
            </w:r>
            <w:proofErr w:type="spellStart"/>
            <w:r w:rsidRPr="00D40662">
              <w:rPr>
                <w:rFonts w:ascii="Arial" w:hAnsi="Arial" w:cs="Arial"/>
                <w:sz w:val="18"/>
                <w:szCs w:val="18"/>
              </w:rPr>
              <w:t>inymi</w:t>
            </w:r>
            <w:proofErr w:type="spellEnd"/>
            <w:r w:rsidRPr="00D40662">
              <w:rPr>
                <w:rFonts w:ascii="Arial" w:hAnsi="Arial" w:cs="Arial"/>
                <w:sz w:val="18"/>
                <w:szCs w:val="18"/>
              </w:rPr>
              <w:t xml:space="preserve"> ulga na innowacyjnych pracowników, ulga na prototyp, ulga na robotyzację, Ulga na działania z zakresu społecznej odpowiedzialności biznesu (</w:t>
            </w:r>
            <w:proofErr w:type="spellStart"/>
            <w:r w:rsidRPr="00D40662">
              <w:rPr>
                <w:rFonts w:ascii="Arial" w:hAnsi="Arial" w:cs="Arial"/>
                <w:i/>
                <w:iCs/>
                <w:sz w:val="18"/>
                <w:szCs w:val="18"/>
              </w:rPr>
              <w:t>corporate</w:t>
            </w:r>
            <w:proofErr w:type="spellEnd"/>
            <w:r w:rsidRPr="00D40662">
              <w:rPr>
                <w:rFonts w:ascii="Arial" w:hAnsi="Arial" w:cs="Arial"/>
                <w:i/>
                <w:iCs/>
                <w:sz w:val="18"/>
                <w:szCs w:val="18"/>
              </w:rPr>
              <w:t xml:space="preserve"> </w:t>
            </w:r>
            <w:proofErr w:type="spellStart"/>
            <w:r w:rsidRPr="00D40662">
              <w:rPr>
                <w:rFonts w:ascii="Arial" w:hAnsi="Arial" w:cs="Arial"/>
                <w:i/>
                <w:iCs/>
                <w:sz w:val="18"/>
                <w:szCs w:val="18"/>
              </w:rPr>
              <w:t>social</w:t>
            </w:r>
            <w:proofErr w:type="spellEnd"/>
            <w:r w:rsidRPr="00D40662">
              <w:rPr>
                <w:rFonts w:ascii="Arial" w:hAnsi="Arial" w:cs="Arial"/>
                <w:i/>
                <w:iCs/>
                <w:sz w:val="18"/>
                <w:szCs w:val="18"/>
              </w:rPr>
              <w:t xml:space="preserve"> </w:t>
            </w:r>
            <w:proofErr w:type="spellStart"/>
            <w:r w:rsidRPr="00D40662">
              <w:rPr>
                <w:rFonts w:ascii="Arial" w:hAnsi="Arial" w:cs="Arial"/>
                <w:i/>
                <w:iCs/>
                <w:sz w:val="18"/>
                <w:szCs w:val="18"/>
              </w:rPr>
              <w:t>responsibility</w:t>
            </w:r>
            <w:proofErr w:type="spellEnd"/>
            <w:r w:rsidRPr="00D40662">
              <w:rPr>
                <w:rFonts w:ascii="Arial" w:hAnsi="Arial" w:cs="Arial"/>
                <w:i/>
                <w:iCs/>
                <w:sz w:val="18"/>
                <w:szCs w:val="18"/>
              </w:rPr>
              <w:t>, CSR</w:t>
            </w:r>
            <w:r w:rsidRPr="00D40662">
              <w:rPr>
                <w:rFonts w:ascii="Arial" w:hAnsi="Arial" w:cs="Arial"/>
                <w:sz w:val="18"/>
                <w:szCs w:val="18"/>
              </w:rPr>
              <w:t xml:space="preserve">) Ulga na ekspansję, ulga na IPO, ulga na nabywanie udziałów, </w:t>
            </w:r>
          </w:p>
          <w:p w14:paraId="3F118C8D" w14:textId="5FC75621" w:rsidR="00D40662" w:rsidRPr="00D40662" w:rsidRDefault="00D40662" w:rsidP="00D40662">
            <w:pPr>
              <w:pStyle w:val="Akapitzlist"/>
              <w:numPr>
                <w:ilvl w:val="0"/>
                <w:numId w:val="22"/>
              </w:numPr>
              <w:spacing w:before="240" w:after="0" w:line="240" w:lineRule="auto"/>
              <w:ind w:right="62"/>
              <w:jc w:val="both"/>
              <w:rPr>
                <w:rFonts w:ascii="Arial" w:hAnsi="Arial" w:cs="Arial"/>
                <w:sz w:val="18"/>
                <w:szCs w:val="18"/>
              </w:rPr>
            </w:pPr>
            <w:r w:rsidRPr="00D40662">
              <w:rPr>
                <w:rFonts w:ascii="Arial" w:hAnsi="Arial" w:cs="Arial"/>
                <w:sz w:val="18"/>
                <w:szCs w:val="18"/>
              </w:rPr>
              <w:t>Uruchomienie w lipcu 2021 r. przez Ministerstwo Funduszy i Polityki Regionalnej portalu Głos Beneficjenta. Portal ma być miejscem, gdzie wpływać będą pomysły dotyczące uprawnieninia wdrażanie środków unijnych. Jak deklaruje Ministerstwo wszystkie pomysły będą analizowane część z nich wdrożona. Zgłaszane uwagi dotyczą organizacji konkursów oraz realizacji projektów współfinansowanych z funduszy europejskich, sposobu oceny wniosków o dofinansowanie oraz funkcjonowania systemów informatycznych obsługujących wdrażanie poszczególnych programów</w:t>
            </w:r>
          </w:p>
          <w:p w14:paraId="11749037" w14:textId="77777777" w:rsidR="00D40662" w:rsidRPr="001E5AE6" w:rsidRDefault="00D40662" w:rsidP="00841F3F">
            <w:pPr>
              <w:spacing w:before="240" w:after="0" w:line="240" w:lineRule="auto"/>
              <w:ind w:right="62"/>
              <w:jc w:val="both"/>
              <w:rPr>
                <w:rFonts w:ascii="Arial" w:hAnsi="Arial" w:cs="Arial"/>
                <w:sz w:val="18"/>
                <w:szCs w:val="18"/>
              </w:rPr>
            </w:pPr>
          </w:p>
          <w:p w14:paraId="3A2D9875" w14:textId="77777777" w:rsidR="003B4F12" w:rsidRPr="00D40662" w:rsidRDefault="003B4F12" w:rsidP="00D40662">
            <w:pPr>
              <w:spacing w:before="240" w:after="0" w:line="240" w:lineRule="auto"/>
              <w:ind w:right="62"/>
              <w:jc w:val="both"/>
              <w:rPr>
                <w:rFonts w:ascii="Arial" w:hAnsi="Arial" w:cs="Arial"/>
                <w:sz w:val="18"/>
                <w:szCs w:val="18"/>
              </w:rPr>
            </w:pPr>
          </w:p>
        </w:tc>
      </w:tr>
      <w:tr w:rsidR="003B4F12" w:rsidRPr="001E5AE6" w14:paraId="5892875D" w14:textId="77777777" w:rsidTr="00841F3F">
        <w:trPr>
          <w:trHeight w:val="1906"/>
        </w:trPr>
        <w:tc>
          <w:tcPr>
            <w:tcW w:w="9212" w:type="dxa"/>
          </w:tcPr>
          <w:p w14:paraId="34D9A8FB" w14:textId="1EE877DA" w:rsidR="003B4F12" w:rsidRDefault="001E5AE6" w:rsidP="00841F3F">
            <w:pPr>
              <w:spacing w:before="240" w:after="0" w:line="240" w:lineRule="auto"/>
              <w:ind w:right="62"/>
              <w:jc w:val="both"/>
              <w:rPr>
                <w:rFonts w:ascii="Arial" w:hAnsi="Arial" w:cs="Arial"/>
                <w:sz w:val="18"/>
                <w:szCs w:val="18"/>
              </w:rPr>
            </w:pPr>
            <w:r w:rsidRPr="00D40662">
              <w:rPr>
                <w:rFonts w:ascii="Arial" w:hAnsi="Arial" w:cs="Arial"/>
                <w:sz w:val="18"/>
                <w:szCs w:val="18"/>
              </w:rPr>
              <w:t>Zagrożenia</w:t>
            </w:r>
            <w:r w:rsidR="00D40662">
              <w:rPr>
                <w:rFonts w:ascii="Arial" w:hAnsi="Arial" w:cs="Arial"/>
                <w:sz w:val="18"/>
                <w:szCs w:val="18"/>
              </w:rPr>
              <w:t>:</w:t>
            </w:r>
          </w:p>
          <w:p w14:paraId="529BE350" w14:textId="77777777" w:rsidR="00B4127A" w:rsidRDefault="00D40662" w:rsidP="00D40662">
            <w:pPr>
              <w:pStyle w:val="Akapitzlist"/>
              <w:numPr>
                <w:ilvl w:val="0"/>
                <w:numId w:val="23"/>
              </w:numPr>
              <w:spacing w:before="240" w:after="0" w:line="240" w:lineRule="auto"/>
              <w:ind w:right="62"/>
              <w:jc w:val="both"/>
              <w:rPr>
                <w:rFonts w:ascii="Arial" w:hAnsi="Arial" w:cs="Arial"/>
                <w:sz w:val="18"/>
                <w:szCs w:val="18"/>
              </w:rPr>
            </w:pPr>
            <w:r w:rsidRPr="00B4127A">
              <w:rPr>
                <w:rFonts w:ascii="Arial" w:hAnsi="Arial" w:cs="Arial"/>
                <w:bCs/>
                <w:sz w:val="18"/>
                <w:szCs w:val="18"/>
              </w:rPr>
              <w:t xml:space="preserve">Zagrożenia dotyczące uzyskania środków na realizację Krajowego Planu Odbudowy. Krajowy Plan Odbudowy (KPO) jest programem określającym sposób wykorzystania </w:t>
            </w:r>
            <w:r w:rsidRPr="00B4127A">
              <w:rPr>
                <w:rFonts w:ascii="Arial" w:hAnsi="Arial" w:cs="Arial"/>
                <w:sz w:val="18"/>
                <w:szCs w:val="18"/>
              </w:rPr>
              <w:t xml:space="preserve">środków w ramach Funduszu Odbudowy, będącego </w:t>
            </w:r>
            <w:r w:rsidRPr="00B4127A">
              <w:rPr>
                <w:rFonts w:ascii="Arial" w:hAnsi="Arial" w:cs="Arial"/>
                <w:bCs/>
                <w:sz w:val="18"/>
                <w:szCs w:val="18"/>
              </w:rPr>
              <w:t xml:space="preserve">odpowiedzią Unii Europejskiej na pandemię </w:t>
            </w:r>
            <w:proofErr w:type="spellStart"/>
            <w:r w:rsidRPr="00B4127A">
              <w:rPr>
                <w:rFonts w:ascii="Arial" w:hAnsi="Arial" w:cs="Arial"/>
                <w:bCs/>
                <w:sz w:val="18"/>
                <w:szCs w:val="18"/>
              </w:rPr>
              <w:t>koronawirusa</w:t>
            </w:r>
            <w:proofErr w:type="spellEnd"/>
            <w:r w:rsidRPr="00B4127A">
              <w:rPr>
                <w:rFonts w:ascii="Arial" w:hAnsi="Arial" w:cs="Arial"/>
                <w:bCs/>
                <w:sz w:val="18"/>
                <w:szCs w:val="18"/>
              </w:rPr>
              <w:t xml:space="preserve">. </w:t>
            </w:r>
            <w:r w:rsidRPr="00B4127A">
              <w:rPr>
                <w:rFonts w:ascii="Arial" w:hAnsi="Arial" w:cs="Arial"/>
                <w:sz w:val="18"/>
                <w:szCs w:val="18"/>
              </w:rPr>
              <w:t>Dotacje i preferencyjne pożyczki mają pomóc krajom Unii Europejskiej w wyjściu z kryzys wywołanego przez pandemię COVID-19. Polska w ramach funduszu może otrzymać nawet 57 mld euro.</w:t>
            </w:r>
            <w:r w:rsidRPr="00B4127A">
              <w:rPr>
                <w:rFonts w:ascii="Arial" w:hAnsi="Arial" w:cs="Arial"/>
                <w:bCs/>
                <w:sz w:val="18"/>
                <w:szCs w:val="18"/>
              </w:rPr>
              <w:t xml:space="preserve"> Zdaniem Ministerstwa Funduszy i Polityki Regionalnej negocjacje z Komisją Europejską zakończyły się na poziomie technicznym 12 lipca br. Komisja Europejska zatwierdziła 22 spośród 25 złożonych krajowych planów odbudowy. </w:t>
            </w:r>
            <w:r w:rsidRPr="00B4127A">
              <w:rPr>
                <w:rFonts w:ascii="Arial" w:hAnsi="Arial" w:cs="Arial"/>
                <w:sz w:val="18"/>
                <w:szCs w:val="18"/>
              </w:rPr>
              <w:t xml:space="preserve">Krajowe Plany Odbudowy muszą zostać zaakceptowane do końca roku, najpierw przez KE, potem przez Radę UE. Komisja decyzje uzależnia od tego, czy Polska zrealizuje orzeczenie TSUE z 15 lipca. Bark akceptacji KPO może spowodować przepadnięcie zaliczki na poczet realizacji programu. </w:t>
            </w:r>
          </w:p>
          <w:p w14:paraId="574AA5CF" w14:textId="460BED50" w:rsidR="00D40662" w:rsidRPr="00B4127A" w:rsidRDefault="00D40662" w:rsidP="00D40662">
            <w:pPr>
              <w:pStyle w:val="Akapitzlist"/>
              <w:numPr>
                <w:ilvl w:val="0"/>
                <w:numId w:val="23"/>
              </w:numPr>
              <w:spacing w:before="240" w:after="0" w:line="240" w:lineRule="auto"/>
              <w:ind w:right="62"/>
              <w:jc w:val="both"/>
              <w:rPr>
                <w:rFonts w:ascii="Arial" w:hAnsi="Arial" w:cs="Arial"/>
                <w:sz w:val="18"/>
                <w:szCs w:val="18"/>
              </w:rPr>
            </w:pPr>
            <w:r w:rsidRPr="00B4127A">
              <w:rPr>
                <w:rFonts w:ascii="Arial" w:hAnsi="Arial" w:cs="Arial"/>
                <w:bCs/>
                <w:sz w:val="18"/>
                <w:szCs w:val="18"/>
              </w:rPr>
              <w:t xml:space="preserve">Dodatkowo Polska nie jest przygotowana do realizacji KPO, ponieważ nie są gotowe przepisy, które stanowić będą podstawę do wdrażania KPO w Polsce. </w:t>
            </w:r>
            <w:r w:rsidRPr="00B4127A">
              <w:rPr>
                <w:rFonts w:ascii="Arial" w:hAnsi="Arial" w:cs="Arial"/>
                <w:sz w:val="18"/>
                <w:szCs w:val="18"/>
              </w:rPr>
              <w:t>Wdrożenie KPO możliwe będzie po stworzeniu w prawie krajowym rozwiązań służących wdrożeniu reform i inwestycji określonych w KPO, m.in. systemu instytucjonalnego, wyboru i sposobu realizacji przedsięwzięć, finansowania inwestycji i przedsięwzięć, monitorowania realizacji KPO czy też działań kontrolnych i audytowych. Przepisy w zakresie Krajowego Planu Odbudowy (KPO) zawarte są w bloku przepisów zmieniających inne ustawy jako przepisy dodawane do ustawy z dnia 6 grudnia 2006 r. o zasadach prowadzenia polityki rozwoju, nie trafiły jeszcze na Radę Ministrów</w:t>
            </w:r>
            <w:r w:rsidRPr="00B4127A">
              <w:rPr>
                <w:rFonts w:ascii="Arial" w:hAnsi="Arial" w:cs="Arial"/>
                <w:sz w:val="18"/>
                <w:szCs w:val="18"/>
              </w:rPr>
              <w:t>.</w:t>
            </w:r>
          </w:p>
          <w:p w14:paraId="1A5160F5" w14:textId="4BC87E7D" w:rsidR="003B4F12" w:rsidRPr="001E5AE6" w:rsidRDefault="003B4F12" w:rsidP="00D40662">
            <w:pPr>
              <w:pStyle w:val="Akapitzlist"/>
              <w:spacing w:before="240" w:after="120" w:line="240" w:lineRule="auto"/>
              <w:ind w:left="283" w:right="62"/>
              <w:contextualSpacing w:val="0"/>
              <w:jc w:val="both"/>
              <w:rPr>
                <w:rFonts w:ascii="Arial" w:hAnsi="Arial" w:cs="Arial"/>
                <w:sz w:val="18"/>
                <w:szCs w:val="18"/>
              </w:rPr>
            </w:pPr>
          </w:p>
          <w:p w14:paraId="323CBDE8" w14:textId="65A971E0" w:rsidR="003B4F12" w:rsidRPr="00194AC3" w:rsidRDefault="003B4F12" w:rsidP="00D40662">
            <w:pPr>
              <w:pStyle w:val="Akapitzlist"/>
              <w:spacing w:before="240" w:after="120" w:line="240" w:lineRule="auto"/>
              <w:ind w:left="283" w:right="62"/>
              <w:contextualSpacing w:val="0"/>
              <w:jc w:val="both"/>
              <w:rPr>
                <w:rFonts w:ascii="Arial" w:hAnsi="Arial" w:cs="Arial"/>
                <w:sz w:val="18"/>
                <w:szCs w:val="18"/>
              </w:rPr>
            </w:pPr>
          </w:p>
          <w:p w14:paraId="5F4E43F9" w14:textId="77777777" w:rsidR="003B4F12" w:rsidRPr="001E5AE6" w:rsidRDefault="003B4F12" w:rsidP="00841F3F">
            <w:pPr>
              <w:pStyle w:val="Akapitzlist"/>
              <w:spacing w:before="120" w:after="0" w:line="240" w:lineRule="auto"/>
              <w:ind w:left="284" w:right="62"/>
              <w:contextualSpacing w:val="0"/>
              <w:jc w:val="both"/>
              <w:rPr>
                <w:rFonts w:ascii="Arial" w:hAnsi="Arial" w:cs="Arial"/>
                <w:sz w:val="18"/>
                <w:szCs w:val="18"/>
              </w:rPr>
            </w:pPr>
          </w:p>
        </w:tc>
      </w:tr>
    </w:tbl>
    <w:p w14:paraId="406A9C4B" w14:textId="77777777" w:rsidR="00793AFD" w:rsidRPr="001E5AE6" w:rsidRDefault="00793AFD" w:rsidP="008E6F63">
      <w:pPr>
        <w:spacing w:after="0"/>
        <w:rPr>
          <w:rFonts w:ascii="Arial" w:hAnsi="Arial" w:cs="Arial"/>
          <w:b/>
          <w:bCs/>
          <w:sz w:val="13"/>
          <w:szCs w:val="13"/>
        </w:rPr>
      </w:pPr>
    </w:p>
    <w:p w14:paraId="2D0ECE47" w14:textId="77777777" w:rsidR="00BF3B74" w:rsidRPr="001E5AE6" w:rsidRDefault="00BF3B74" w:rsidP="00BF3B74">
      <w:pPr>
        <w:spacing w:after="0" w:line="288" w:lineRule="auto"/>
        <w:rPr>
          <w:rFonts w:ascii="Arial" w:hAnsi="Arial" w:cs="Arial"/>
          <w:b/>
          <w:sz w:val="11"/>
          <w:szCs w:val="11"/>
        </w:rPr>
      </w:pPr>
    </w:p>
    <w:p w14:paraId="2C0C3750" w14:textId="77777777" w:rsidR="00793AFD" w:rsidRPr="001E5AE6" w:rsidRDefault="00793AFD" w:rsidP="00BF3B74">
      <w:pPr>
        <w:spacing w:after="0" w:line="288" w:lineRule="auto"/>
        <w:rPr>
          <w:rFonts w:ascii="Arial" w:hAnsi="Arial" w:cs="Arial"/>
          <w:b/>
          <w:sz w:val="11"/>
          <w:szCs w:val="11"/>
        </w:rPr>
      </w:pPr>
    </w:p>
    <w:p w14:paraId="6BB2B068" w14:textId="77777777" w:rsidR="00793AFD" w:rsidRPr="001E5AE6" w:rsidRDefault="00793AFD" w:rsidP="00BF3B74">
      <w:pPr>
        <w:spacing w:after="0" w:line="288" w:lineRule="auto"/>
        <w:rPr>
          <w:rFonts w:ascii="Arial" w:hAnsi="Arial" w:cs="Arial"/>
          <w:b/>
          <w:sz w:val="11"/>
          <w:szCs w:val="11"/>
        </w:rPr>
      </w:pPr>
    </w:p>
    <w:p w14:paraId="58F20E60" w14:textId="77777777" w:rsidR="00302FEF" w:rsidRPr="00425AAA" w:rsidRDefault="00302FEF" w:rsidP="00425AAA">
      <w:pPr>
        <w:spacing w:after="0" w:line="240" w:lineRule="auto"/>
        <w:jc w:val="both"/>
        <w:textAlignment w:val="baseline"/>
        <w:rPr>
          <w:rFonts w:ascii="Times New Roman" w:eastAsia="Times New Roman" w:hAnsi="Times New Roman"/>
          <w:color w:val="000000"/>
          <w:sz w:val="20"/>
          <w:szCs w:val="20"/>
          <w:bdr w:val="none" w:sz="0" w:space="0" w:color="auto" w:frame="1"/>
          <w:lang w:eastAsia="pl-PL"/>
        </w:rPr>
      </w:pPr>
      <w:r w:rsidRPr="00425AAA">
        <w:rPr>
          <w:rFonts w:ascii="Arial" w:eastAsia="Times New Roman" w:hAnsi="Arial" w:cs="Arial"/>
          <w:i/>
          <w:iCs/>
          <w:color w:val="000000"/>
          <w:sz w:val="15"/>
          <w:szCs w:val="15"/>
          <w:bdr w:val="none" w:sz="0" w:space="0" w:color="auto" w:frame="1"/>
          <w:lang w:eastAsia="pl-PL"/>
        </w:rPr>
        <w:t>Opracowanie jest elementem Raportu Gospodarczego Gabinetu Cieni BCC dot. II kwartału. W najbliższych dniach będziemy prezentować poglądy poszczególnych ministrów związane z obecną sytuacją gospodarczą oraz rekomendacje dla rządu na najbliższe miesiące</w:t>
      </w:r>
      <w:r w:rsidRPr="00425AAA">
        <w:rPr>
          <w:rFonts w:ascii="Arial" w:eastAsia="Times New Roman" w:hAnsi="Arial" w:cs="Arial"/>
          <w:color w:val="000000"/>
          <w:sz w:val="15"/>
          <w:szCs w:val="15"/>
          <w:bdr w:val="none" w:sz="0" w:space="0" w:color="auto" w:frame="1"/>
          <w:lang w:eastAsia="pl-PL"/>
        </w:rPr>
        <w:t>. </w:t>
      </w:r>
    </w:p>
    <w:p w14:paraId="41267666" w14:textId="77777777" w:rsidR="00793AFD" w:rsidRPr="00425AAA" w:rsidRDefault="00793AFD" w:rsidP="00425AAA">
      <w:pPr>
        <w:spacing w:after="0" w:line="240" w:lineRule="auto"/>
        <w:rPr>
          <w:rFonts w:ascii="Arial" w:hAnsi="Arial" w:cs="Arial"/>
          <w:b/>
          <w:sz w:val="16"/>
          <w:szCs w:val="16"/>
        </w:rPr>
      </w:pPr>
    </w:p>
    <w:p w14:paraId="7B990131" w14:textId="77777777" w:rsidR="00793AFD" w:rsidRDefault="00793AFD" w:rsidP="00BF3B74">
      <w:pPr>
        <w:spacing w:after="0" w:line="288" w:lineRule="auto"/>
        <w:rPr>
          <w:rFonts w:ascii="Arial" w:hAnsi="Arial" w:cs="Arial"/>
          <w:b/>
          <w:sz w:val="18"/>
          <w:szCs w:val="18"/>
        </w:rPr>
      </w:pPr>
    </w:p>
    <w:p w14:paraId="0CD19C58" w14:textId="77777777" w:rsidR="00793AFD" w:rsidRPr="00793AFD" w:rsidRDefault="00793AFD" w:rsidP="00793AFD">
      <w:pPr>
        <w:spacing w:after="0" w:line="100" w:lineRule="atLeast"/>
        <w:jc w:val="both"/>
        <w:rPr>
          <w:rFonts w:ascii="Arial" w:hAnsi="Arial" w:cs="Arial"/>
          <w:sz w:val="16"/>
          <w:szCs w:val="18"/>
          <w:u w:val="single"/>
        </w:rPr>
      </w:pPr>
      <w:r w:rsidRPr="00793AFD">
        <w:rPr>
          <w:rFonts w:ascii="Arial" w:hAnsi="Arial" w:cs="Arial"/>
          <w:sz w:val="16"/>
          <w:szCs w:val="18"/>
          <w:u w:val="single"/>
        </w:rPr>
        <w:t>Kontakt:</w:t>
      </w:r>
    </w:p>
    <w:p w14:paraId="6067A0AD" w14:textId="0D9EDD63" w:rsidR="00793AFD" w:rsidRDefault="00793AFD" w:rsidP="00793AFD">
      <w:pPr>
        <w:spacing w:after="0" w:line="100" w:lineRule="atLeast"/>
        <w:jc w:val="both"/>
        <w:rPr>
          <w:rFonts w:ascii="Arial" w:hAnsi="Arial" w:cs="Arial"/>
          <w:b/>
          <w:bCs/>
          <w:sz w:val="16"/>
          <w:szCs w:val="18"/>
          <w:u w:val="single"/>
        </w:rPr>
      </w:pPr>
    </w:p>
    <w:p w14:paraId="5828E75C" w14:textId="77777777" w:rsidR="003B4F12" w:rsidRPr="00421F05" w:rsidRDefault="003B4F12" w:rsidP="003B4F12">
      <w:pPr>
        <w:suppressAutoHyphens/>
        <w:spacing w:after="0" w:line="100" w:lineRule="atLeast"/>
        <w:rPr>
          <w:rFonts w:ascii="Arial" w:eastAsia="Arial Unicode MS" w:hAnsi="Arial" w:cs="Arial"/>
          <w:b/>
          <w:bCs/>
          <w:sz w:val="18"/>
          <w:szCs w:val="18"/>
          <w:lang w:eastAsia="ar-SA"/>
        </w:rPr>
      </w:pPr>
      <w:r w:rsidRPr="00421F05">
        <w:rPr>
          <w:rFonts w:ascii="Arial" w:eastAsia="Arial Unicode MS" w:hAnsi="Arial" w:cs="Arial"/>
          <w:b/>
          <w:bCs/>
          <w:sz w:val="18"/>
          <w:szCs w:val="18"/>
          <w:lang w:eastAsia="ar-SA"/>
        </w:rPr>
        <w:t>Mirosław Kasprzak</w:t>
      </w:r>
    </w:p>
    <w:p w14:paraId="3440A7D0" w14:textId="77777777" w:rsidR="003B4F12" w:rsidRPr="00421F05" w:rsidRDefault="003B4F12" w:rsidP="003B4F12">
      <w:pPr>
        <w:suppressAutoHyphens/>
        <w:spacing w:after="0" w:line="100" w:lineRule="atLeast"/>
        <w:rPr>
          <w:rFonts w:ascii="Arial" w:eastAsia="Arial Unicode MS" w:hAnsi="Arial" w:cs="Arial"/>
          <w:sz w:val="18"/>
          <w:szCs w:val="18"/>
          <w:lang w:eastAsia="ar-SA"/>
        </w:rPr>
      </w:pPr>
      <w:r>
        <w:rPr>
          <w:rFonts w:ascii="Arial" w:eastAsia="Arial Unicode MS" w:hAnsi="Arial" w:cs="Arial"/>
          <w:sz w:val="18"/>
          <w:szCs w:val="18"/>
          <w:lang w:eastAsia="ar-SA"/>
        </w:rPr>
        <w:t>R</w:t>
      </w:r>
      <w:r w:rsidRPr="00421F05">
        <w:rPr>
          <w:rFonts w:ascii="Arial" w:eastAsia="Arial Unicode MS" w:hAnsi="Arial" w:cs="Arial"/>
          <w:sz w:val="18"/>
          <w:szCs w:val="18"/>
          <w:lang w:eastAsia="ar-SA"/>
        </w:rPr>
        <w:t>zecznik BCC</w:t>
      </w:r>
    </w:p>
    <w:p w14:paraId="5C53C332" w14:textId="77777777" w:rsidR="003B4F12" w:rsidRPr="003B4F12" w:rsidRDefault="003B4F12" w:rsidP="003B4F12">
      <w:pPr>
        <w:suppressAutoHyphens/>
        <w:spacing w:after="0" w:line="100" w:lineRule="atLeast"/>
        <w:rPr>
          <w:rFonts w:ascii="Arial" w:eastAsia="Arial Unicode MS" w:hAnsi="Arial" w:cs="Arial"/>
          <w:sz w:val="18"/>
          <w:szCs w:val="18"/>
          <w:lang w:val="en-US" w:eastAsia="ar-SA"/>
        </w:rPr>
      </w:pPr>
      <w:r w:rsidRPr="003B4F12">
        <w:rPr>
          <w:rFonts w:ascii="Arial" w:eastAsia="Arial Unicode MS" w:hAnsi="Arial" w:cs="Arial"/>
          <w:sz w:val="18"/>
          <w:szCs w:val="18"/>
          <w:lang w:val="en-US" w:eastAsia="ar-SA"/>
        </w:rPr>
        <w:t>tel. 608 529 504</w:t>
      </w:r>
    </w:p>
    <w:p w14:paraId="1474300E" w14:textId="20B36336" w:rsidR="003B4F12" w:rsidRPr="001D0D9A" w:rsidRDefault="003B4F12" w:rsidP="003B4F12">
      <w:pPr>
        <w:suppressAutoHyphens/>
        <w:spacing w:after="0" w:line="100" w:lineRule="atLeast"/>
        <w:rPr>
          <w:rFonts w:ascii="Arial" w:eastAsia="Arial Unicode MS" w:hAnsi="Arial" w:cs="Arial"/>
          <w:color w:val="146CB4"/>
          <w:sz w:val="18"/>
          <w:szCs w:val="18"/>
          <w:lang w:val="en-US" w:eastAsia="ar-SA"/>
        </w:rPr>
      </w:pPr>
      <w:r w:rsidRPr="001D0D9A">
        <w:rPr>
          <w:rFonts w:ascii="Arial" w:eastAsia="Arial Unicode MS" w:hAnsi="Arial" w:cs="Arial"/>
          <w:sz w:val="18"/>
          <w:szCs w:val="18"/>
          <w:lang w:val="en-US" w:eastAsia="ar-SA"/>
        </w:rPr>
        <w:t>e-mail: miroslaw.kasprzak@b</w:t>
      </w:r>
      <w:r>
        <w:rPr>
          <w:rFonts w:ascii="Arial" w:eastAsia="Arial Unicode MS" w:hAnsi="Arial" w:cs="Arial"/>
          <w:sz w:val="18"/>
          <w:szCs w:val="18"/>
          <w:lang w:val="en-US" w:eastAsia="ar-SA"/>
        </w:rPr>
        <w:t>cc</w:t>
      </w:r>
      <w:r w:rsidR="00ED1E43">
        <w:rPr>
          <w:rFonts w:ascii="Arial" w:eastAsia="Arial Unicode MS" w:hAnsi="Arial" w:cs="Arial"/>
          <w:sz w:val="18"/>
          <w:szCs w:val="18"/>
          <w:lang w:val="en-US" w:eastAsia="ar-SA"/>
        </w:rPr>
        <w:t>.</w:t>
      </w:r>
      <w:r>
        <w:rPr>
          <w:rFonts w:ascii="Arial" w:eastAsia="Arial Unicode MS" w:hAnsi="Arial" w:cs="Arial"/>
          <w:sz w:val="18"/>
          <w:szCs w:val="18"/>
          <w:lang w:val="en-US" w:eastAsia="ar-SA"/>
        </w:rPr>
        <w:t>pl</w:t>
      </w:r>
    </w:p>
    <w:p w14:paraId="229FD511" w14:textId="77777777" w:rsidR="003B4F12" w:rsidRPr="003B4F12" w:rsidRDefault="003B4F12" w:rsidP="00793AFD">
      <w:pPr>
        <w:spacing w:after="0" w:line="100" w:lineRule="atLeast"/>
        <w:jc w:val="both"/>
        <w:rPr>
          <w:rFonts w:ascii="Arial" w:hAnsi="Arial" w:cs="Arial"/>
          <w:b/>
          <w:bCs/>
          <w:sz w:val="16"/>
          <w:szCs w:val="18"/>
          <w:u w:val="single"/>
          <w:lang w:val="en-US"/>
        </w:rPr>
      </w:pPr>
    </w:p>
    <w:p w14:paraId="2B620E53" w14:textId="77777777" w:rsidR="00D81796" w:rsidRPr="00342A87" w:rsidRDefault="00342A87" w:rsidP="00342A87">
      <w:pPr>
        <w:pBdr>
          <w:top w:val="single" w:sz="2" w:space="6" w:color="C00000"/>
        </w:pBdr>
        <w:spacing w:after="0" w:line="240" w:lineRule="auto"/>
        <w:jc w:val="both"/>
        <w:rPr>
          <w:rFonts w:ascii="Calibri" w:eastAsia="Calibri" w:hAnsi="Calibri" w:cs="Calibri"/>
          <w:i/>
          <w:color w:val="808080"/>
          <w:sz w:val="14"/>
          <w:szCs w:val="16"/>
        </w:rPr>
      </w:pPr>
      <w:r w:rsidRPr="00342A87">
        <w:rPr>
          <w:rFonts w:ascii="Calibri" w:eastAsia="Calibri" w:hAnsi="Calibri" w:cs="Calibri"/>
          <w:b/>
          <w:i/>
          <w:color w:val="808080"/>
          <w:sz w:val="14"/>
          <w:szCs w:val="16"/>
        </w:rPr>
        <w:t>Gospodarczy Gabinet Cieni Business Centre Club</w:t>
      </w:r>
      <w:r w:rsidRPr="00342A87">
        <w:rPr>
          <w:rFonts w:ascii="Calibri" w:eastAsia="Calibri" w:hAnsi="Calibri" w:cs="Calibri"/>
          <w:i/>
          <w:color w:val="808080"/>
          <w:sz w:val="14"/>
          <w:szCs w:val="16"/>
        </w:rPr>
        <w:t xml:space="preserve"> to </w:t>
      </w:r>
      <w:proofErr w:type="spellStart"/>
      <w:r w:rsidRPr="00342A87">
        <w:rPr>
          <w:rFonts w:ascii="Calibri" w:eastAsia="Calibri" w:hAnsi="Calibri" w:cs="Calibri"/>
          <w:i/>
          <w:color w:val="808080"/>
          <w:sz w:val="14"/>
          <w:szCs w:val="16"/>
        </w:rPr>
        <w:t>think</w:t>
      </w:r>
      <w:proofErr w:type="spellEnd"/>
      <w:r w:rsidRPr="00342A87">
        <w:rPr>
          <w:rFonts w:ascii="Calibri" w:eastAsia="Calibri" w:hAnsi="Calibri" w:cs="Calibri"/>
          <w:i/>
          <w:color w:val="808080"/>
          <w:sz w:val="14"/>
          <w:szCs w:val="16"/>
        </w:rPr>
        <w:t xml:space="preserve"> tank powołany w kwietniu 2012 r., aby wspierać działania prorozwojowe władz publicznych, monitorować prace resortów kluczowych dla przedsiębiorczości, rekomendować zmiany sprzyjające rozwojowi kraju, wzrostowi gospodarczemu i konkurencyjności polskich firm. W skład GGC BCC wchodzą wybitni gospodarczy fachowcy, z których wielu piastowało w przeszłości funkcje publiczne [lista poniżej]. Więcej informacji: </w:t>
      </w:r>
      <w:hyperlink r:id="rId9" w:history="1">
        <w:r w:rsidRPr="00342A87">
          <w:rPr>
            <w:rFonts w:ascii="Calibri" w:eastAsia="Calibri" w:hAnsi="Calibri" w:cs="Calibri"/>
            <w:i/>
            <w:color w:val="0000FF"/>
            <w:sz w:val="14"/>
            <w:szCs w:val="16"/>
            <w:u w:val="single"/>
          </w:rPr>
          <w:t>http://www.bcc.org.pl/Gospodarczy-Gabinet-Cieni.4241.0.html</w:t>
        </w:r>
      </w:hyperlink>
    </w:p>
    <w:sectPr w:rsidR="00D81796" w:rsidRPr="00342A87" w:rsidSect="00793AFD">
      <w:footerReference w:type="default" r:id="rId10"/>
      <w:pgSz w:w="11906" w:h="16838"/>
      <w:pgMar w:top="1135" w:right="1417" w:bottom="993"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3C14" w14:textId="77777777" w:rsidR="000A579B" w:rsidRDefault="000A579B">
      <w:pPr>
        <w:spacing w:after="0" w:line="240" w:lineRule="auto"/>
      </w:pPr>
      <w:r>
        <w:separator/>
      </w:r>
    </w:p>
  </w:endnote>
  <w:endnote w:type="continuationSeparator" w:id="0">
    <w:p w14:paraId="49BB7210" w14:textId="77777777" w:rsidR="000A579B" w:rsidRDefault="000A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Bold">
    <w:altName w:val="Bookman Old Style"/>
    <w:panose1 w:val="020B0604020202020204"/>
    <w:charset w:val="00"/>
    <w:family w:val="roman"/>
    <w:pitch w:val="default"/>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F42" w14:textId="33662240" w:rsidR="00B453A4" w:rsidRPr="009B7B9C" w:rsidRDefault="000F6A44" w:rsidP="0079671E">
    <w:pPr>
      <w:pStyle w:val="Stopka"/>
      <w:rPr>
        <w:sz w:val="18"/>
      </w:rPr>
    </w:pPr>
    <w:r>
      <w:rPr>
        <w:sz w:val="16"/>
        <w:szCs w:val="18"/>
      </w:rPr>
      <w:t>Gosp</w:t>
    </w:r>
    <w:r w:rsidR="00DA308F">
      <w:rPr>
        <w:sz w:val="16"/>
        <w:szCs w:val="18"/>
      </w:rPr>
      <w:t>odarczy Gabinet Cieni BCC – XXX</w:t>
    </w:r>
    <w:r w:rsidR="000F1933">
      <w:rPr>
        <w:sz w:val="16"/>
        <w:szCs w:val="18"/>
      </w:rPr>
      <w:t>V</w:t>
    </w:r>
    <w:r w:rsidR="008E6F63">
      <w:rPr>
        <w:sz w:val="16"/>
        <w:szCs w:val="18"/>
      </w:rPr>
      <w:t>I</w:t>
    </w:r>
    <w:r w:rsidR="00BF3B74">
      <w:rPr>
        <w:sz w:val="16"/>
        <w:szCs w:val="18"/>
      </w:rPr>
      <w:t>I</w:t>
    </w:r>
    <w:r w:rsidR="003B4F12">
      <w:rPr>
        <w:sz w:val="16"/>
        <w:szCs w:val="18"/>
      </w:rPr>
      <w:t>I</w:t>
    </w:r>
    <w:r w:rsidR="00BF3B74">
      <w:rPr>
        <w:sz w:val="16"/>
        <w:szCs w:val="18"/>
      </w:rPr>
      <w:t xml:space="preserve"> Raport kwartalny –</w:t>
    </w:r>
    <w:r w:rsidR="003B4F12">
      <w:rPr>
        <w:sz w:val="16"/>
        <w:szCs w:val="18"/>
      </w:rPr>
      <w:t>14</w:t>
    </w:r>
    <w:r w:rsidRPr="009B7B9C">
      <w:rPr>
        <w:sz w:val="16"/>
        <w:szCs w:val="18"/>
      </w:rPr>
      <w:t>.</w:t>
    </w:r>
    <w:r w:rsidR="003B4F12">
      <w:rPr>
        <w:sz w:val="16"/>
        <w:szCs w:val="18"/>
      </w:rPr>
      <w:t>10</w:t>
    </w:r>
    <w:r w:rsidRPr="009B7B9C">
      <w:rPr>
        <w:sz w:val="16"/>
        <w:szCs w:val="18"/>
      </w:rPr>
      <w:t>.20</w:t>
    </w:r>
    <w:r>
      <w:rPr>
        <w:sz w:val="16"/>
        <w:szCs w:val="18"/>
      </w:rPr>
      <w:t>2</w:t>
    </w:r>
    <w:r w:rsidR="008E6F63">
      <w:rPr>
        <w:sz w:val="16"/>
        <w:szCs w:val="18"/>
      </w:rPr>
      <w:t>1</w:t>
    </w:r>
    <w:r w:rsidRPr="009B7B9C">
      <w:rPr>
        <w:sz w:val="16"/>
        <w:szCs w:val="18"/>
      </w:rPr>
      <w:t xml:space="preserve"> r.</w:t>
    </w:r>
    <w:r>
      <w:rPr>
        <w:sz w:val="16"/>
        <w:szCs w:val="18"/>
      </w:rPr>
      <w:tab/>
    </w:r>
    <w:r w:rsidRPr="009B7B9C">
      <w:rPr>
        <w:sz w:val="18"/>
      </w:rPr>
      <w:t xml:space="preserve"> </w:t>
    </w:r>
    <w:r>
      <w:rPr>
        <w:sz w:val="18"/>
      </w:rPr>
      <w:tab/>
    </w:r>
    <w:r w:rsidRPr="009B7B9C">
      <w:rPr>
        <w:sz w:val="18"/>
      </w:rPr>
      <w:fldChar w:fldCharType="begin"/>
    </w:r>
    <w:r w:rsidRPr="009B7B9C">
      <w:rPr>
        <w:sz w:val="18"/>
      </w:rPr>
      <w:instrText xml:space="preserve"> PAGE   \* MERGEFORMAT </w:instrText>
    </w:r>
    <w:r w:rsidRPr="009B7B9C">
      <w:rPr>
        <w:sz w:val="18"/>
      </w:rPr>
      <w:fldChar w:fldCharType="separate"/>
    </w:r>
    <w:r w:rsidR="00E8219A">
      <w:rPr>
        <w:noProof/>
        <w:sz w:val="18"/>
      </w:rPr>
      <w:t>3</w:t>
    </w:r>
    <w:r w:rsidRPr="009B7B9C">
      <w:rPr>
        <w:sz w:val="18"/>
      </w:rPr>
      <w:fldChar w:fldCharType="end"/>
    </w:r>
  </w:p>
  <w:p w14:paraId="101CD593" w14:textId="77777777" w:rsidR="00B453A4" w:rsidRDefault="000A57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D64D" w14:textId="77777777" w:rsidR="000A579B" w:rsidRDefault="000A579B">
      <w:pPr>
        <w:spacing w:after="0" w:line="240" w:lineRule="auto"/>
      </w:pPr>
      <w:r>
        <w:separator/>
      </w:r>
    </w:p>
  </w:footnote>
  <w:footnote w:type="continuationSeparator" w:id="0">
    <w:p w14:paraId="5295E888" w14:textId="77777777" w:rsidR="000A579B" w:rsidRDefault="000A5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6181"/>
    <w:multiLevelType w:val="hybridMultilevel"/>
    <w:tmpl w:val="75D0441E"/>
    <w:lvl w:ilvl="0" w:tplc="9C6076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C63BD9"/>
    <w:multiLevelType w:val="hybridMultilevel"/>
    <w:tmpl w:val="47B8E368"/>
    <w:lvl w:ilvl="0" w:tplc="AF76AE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24A0190"/>
    <w:multiLevelType w:val="hybridMultilevel"/>
    <w:tmpl w:val="4EBA8BCE"/>
    <w:lvl w:ilvl="0" w:tplc="F41220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906AC5"/>
    <w:multiLevelType w:val="hybridMultilevel"/>
    <w:tmpl w:val="7A8CEEAA"/>
    <w:lvl w:ilvl="0" w:tplc="A2063946">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AF7A79"/>
    <w:multiLevelType w:val="hybridMultilevel"/>
    <w:tmpl w:val="7B2CE87A"/>
    <w:lvl w:ilvl="0" w:tplc="D9A2B6B2">
      <w:start w:val="1"/>
      <w:numFmt w:val="decimal"/>
      <w:lvlText w:val="%1."/>
      <w:lvlJc w:val="left"/>
      <w:pPr>
        <w:ind w:left="720" w:hanging="360"/>
      </w:pPr>
      <w:rPr>
        <w:rFonts w:hint="default"/>
        <w:color w:val="1B1B1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FA13D7"/>
    <w:multiLevelType w:val="hybridMultilevel"/>
    <w:tmpl w:val="99E22008"/>
    <w:lvl w:ilvl="0" w:tplc="AF76AEC6">
      <w:start w:val="1"/>
      <w:numFmt w:val="bullet"/>
      <w:lvlText w:val=""/>
      <w:lvlJc w:val="left"/>
      <w:pPr>
        <w:ind w:left="1051" w:hanging="360"/>
      </w:pPr>
      <w:rPr>
        <w:rFonts w:ascii="Symbol" w:hAnsi="Symbol" w:hint="default"/>
      </w:rPr>
    </w:lvl>
    <w:lvl w:ilvl="1" w:tplc="04150003" w:tentative="1">
      <w:start w:val="1"/>
      <w:numFmt w:val="bullet"/>
      <w:lvlText w:val="o"/>
      <w:lvlJc w:val="left"/>
      <w:pPr>
        <w:ind w:left="1771" w:hanging="360"/>
      </w:pPr>
      <w:rPr>
        <w:rFonts w:ascii="Courier New" w:hAnsi="Courier New" w:cs="Courier New" w:hint="default"/>
      </w:rPr>
    </w:lvl>
    <w:lvl w:ilvl="2" w:tplc="04150005" w:tentative="1">
      <w:start w:val="1"/>
      <w:numFmt w:val="bullet"/>
      <w:lvlText w:val=""/>
      <w:lvlJc w:val="left"/>
      <w:pPr>
        <w:ind w:left="2491" w:hanging="360"/>
      </w:pPr>
      <w:rPr>
        <w:rFonts w:ascii="Wingdings" w:hAnsi="Wingdings" w:hint="default"/>
      </w:rPr>
    </w:lvl>
    <w:lvl w:ilvl="3" w:tplc="04150001" w:tentative="1">
      <w:start w:val="1"/>
      <w:numFmt w:val="bullet"/>
      <w:lvlText w:val=""/>
      <w:lvlJc w:val="left"/>
      <w:pPr>
        <w:ind w:left="3211" w:hanging="360"/>
      </w:pPr>
      <w:rPr>
        <w:rFonts w:ascii="Symbol" w:hAnsi="Symbol" w:hint="default"/>
      </w:rPr>
    </w:lvl>
    <w:lvl w:ilvl="4" w:tplc="04150003" w:tentative="1">
      <w:start w:val="1"/>
      <w:numFmt w:val="bullet"/>
      <w:lvlText w:val="o"/>
      <w:lvlJc w:val="left"/>
      <w:pPr>
        <w:ind w:left="3931" w:hanging="360"/>
      </w:pPr>
      <w:rPr>
        <w:rFonts w:ascii="Courier New" w:hAnsi="Courier New" w:cs="Courier New" w:hint="default"/>
      </w:rPr>
    </w:lvl>
    <w:lvl w:ilvl="5" w:tplc="04150005" w:tentative="1">
      <w:start w:val="1"/>
      <w:numFmt w:val="bullet"/>
      <w:lvlText w:val=""/>
      <w:lvlJc w:val="left"/>
      <w:pPr>
        <w:ind w:left="4651" w:hanging="360"/>
      </w:pPr>
      <w:rPr>
        <w:rFonts w:ascii="Wingdings" w:hAnsi="Wingdings" w:hint="default"/>
      </w:rPr>
    </w:lvl>
    <w:lvl w:ilvl="6" w:tplc="04150001" w:tentative="1">
      <w:start w:val="1"/>
      <w:numFmt w:val="bullet"/>
      <w:lvlText w:val=""/>
      <w:lvlJc w:val="left"/>
      <w:pPr>
        <w:ind w:left="5371" w:hanging="360"/>
      </w:pPr>
      <w:rPr>
        <w:rFonts w:ascii="Symbol" w:hAnsi="Symbol" w:hint="default"/>
      </w:rPr>
    </w:lvl>
    <w:lvl w:ilvl="7" w:tplc="04150003" w:tentative="1">
      <w:start w:val="1"/>
      <w:numFmt w:val="bullet"/>
      <w:lvlText w:val="o"/>
      <w:lvlJc w:val="left"/>
      <w:pPr>
        <w:ind w:left="6091" w:hanging="360"/>
      </w:pPr>
      <w:rPr>
        <w:rFonts w:ascii="Courier New" w:hAnsi="Courier New" w:cs="Courier New" w:hint="default"/>
      </w:rPr>
    </w:lvl>
    <w:lvl w:ilvl="8" w:tplc="04150005" w:tentative="1">
      <w:start w:val="1"/>
      <w:numFmt w:val="bullet"/>
      <w:lvlText w:val=""/>
      <w:lvlJc w:val="left"/>
      <w:pPr>
        <w:ind w:left="6811" w:hanging="360"/>
      </w:pPr>
      <w:rPr>
        <w:rFonts w:ascii="Wingdings" w:hAnsi="Wingdings" w:hint="default"/>
      </w:rPr>
    </w:lvl>
  </w:abstractNum>
  <w:abstractNum w:abstractNumId="6" w15:restartNumberingAfterBreak="0">
    <w:nsid w:val="394A0EDA"/>
    <w:multiLevelType w:val="hybridMultilevel"/>
    <w:tmpl w:val="0652BA9E"/>
    <w:lvl w:ilvl="0" w:tplc="AF76AEC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A947087"/>
    <w:multiLevelType w:val="hybridMultilevel"/>
    <w:tmpl w:val="494C5B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077E0D"/>
    <w:multiLevelType w:val="hybridMultilevel"/>
    <w:tmpl w:val="13EED0C0"/>
    <w:lvl w:ilvl="0" w:tplc="144AAF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AB1913"/>
    <w:multiLevelType w:val="hybridMultilevel"/>
    <w:tmpl w:val="8DFECE30"/>
    <w:lvl w:ilvl="0" w:tplc="BB62567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FB83E7D"/>
    <w:multiLevelType w:val="hybridMultilevel"/>
    <w:tmpl w:val="D65657C4"/>
    <w:lvl w:ilvl="0" w:tplc="4B4C06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D574506"/>
    <w:multiLevelType w:val="hybridMultilevel"/>
    <w:tmpl w:val="2FE254F6"/>
    <w:lvl w:ilvl="0" w:tplc="EDA8F0B0">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AD8379A"/>
    <w:multiLevelType w:val="hybridMultilevel"/>
    <w:tmpl w:val="0BAE5174"/>
    <w:lvl w:ilvl="0" w:tplc="156C149C">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3" w15:restartNumberingAfterBreak="0">
    <w:nsid w:val="6B281B62"/>
    <w:multiLevelType w:val="hybridMultilevel"/>
    <w:tmpl w:val="F4806788"/>
    <w:lvl w:ilvl="0" w:tplc="0415000F">
      <w:start w:val="1"/>
      <w:numFmt w:val="decimal"/>
      <w:lvlText w:val="%1."/>
      <w:lvlJc w:val="left"/>
      <w:pPr>
        <w:ind w:left="720" w:hanging="360"/>
      </w:pPr>
    </w:lvl>
    <w:lvl w:ilvl="1" w:tplc="4496BF54">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D9279E"/>
    <w:multiLevelType w:val="hybridMultilevel"/>
    <w:tmpl w:val="10C227F4"/>
    <w:lvl w:ilvl="0" w:tplc="AF76AEC6">
      <w:start w:val="1"/>
      <w:numFmt w:val="bullet"/>
      <w:lvlText w:val=""/>
      <w:lvlJc w:val="left"/>
      <w:pPr>
        <w:ind w:left="502" w:hanging="360"/>
      </w:pPr>
      <w:rPr>
        <w:rFonts w:ascii="Symbol" w:hAnsi="Symbol" w:hint="default"/>
        <w:b/>
        <w:sz w:val="18"/>
        <w:szCs w:val="18"/>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74692721"/>
    <w:multiLevelType w:val="hybridMultilevel"/>
    <w:tmpl w:val="97342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32781B"/>
    <w:multiLevelType w:val="hybridMultilevel"/>
    <w:tmpl w:val="8BDAB5BE"/>
    <w:lvl w:ilvl="0" w:tplc="A93842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707111"/>
    <w:multiLevelType w:val="hybridMultilevel"/>
    <w:tmpl w:val="11346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7A267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9" w15:restartNumberingAfterBreak="0">
    <w:nsid w:val="7F274BDF"/>
    <w:multiLevelType w:val="hybridMultilevel"/>
    <w:tmpl w:val="D328463A"/>
    <w:lvl w:ilvl="0" w:tplc="858CDBA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0"/>
  </w:num>
  <w:num w:numId="3">
    <w:abstractNumId w:val="11"/>
  </w:num>
  <w:num w:numId="4">
    <w:abstractNumId w:val="16"/>
  </w:num>
  <w:num w:numId="5">
    <w:abstractNumId w:val="2"/>
  </w:num>
  <w:num w:numId="6">
    <w:abstractNumId w:val="14"/>
  </w:num>
  <w:num w:numId="7">
    <w:abstractNumId w:val="8"/>
  </w:num>
  <w:num w:numId="8">
    <w:abstractNumId w:val="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9"/>
  </w:num>
  <w:num w:numId="13">
    <w:abstractNumId w:val="10"/>
  </w:num>
  <w:num w:numId="14">
    <w:abstractNumId w:val="12"/>
  </w:num>
  <w:num w:numId="15">
    <w:abstractNumId w:val="13"/>
  </w:num>
  <w:num w:numId="16">
    <w:abstractNumId w:val="15"/>
  </w:num>
  <w:num w:numId="17">
    <w:abstractNumId w:val="18"/>
  </w:num>
  <w:num w:numId="18">
    <w:abstractNumId w:val="1"/>
  </w:num>
  <w:num w:numId="19">
    <w:abstractNumId w:val="6"/>
  </w:num>
  <w:num w:numId="20">
    <w:abstractNumId w:val="5"/>
  </w:num>
  <w:num w:numId="21">
    <w:abstractNumId w:val="4"/>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87"/>
    <w:rsid w:val="000A579B"/>
    <w:rsid w:val="000F1933"/>
    <w:rsid w:val="000F6A44"/>
    <w:rsid w:val="00106344"/>
    <w:rsid w:val="00130622"/>
    <w:rsid w:val="0013564F"/>
    <w:rsid w:val="00150AC0"/>
    <w:rsid w:val="001868F5"/>
    <w:rsid w:val="0018795E"/>
    <w:rsid w:val="00194AC3"/>
    <w:rsid w:val="001E5AE6"/>
    <w:rsid w:val="0027385E"/>
    <w:rsid w:val="00283B96"/>
    <w:rsid w:val="002C6459"/>
    <w:rsid w:val="00302FEF"/>
    <w:rsid w:val="00342A87"/>
    <w:rsid w:val="00361509"/>
    <w:rsid w:val="00391131"/>
    <w:rsid w:val="003B0F6A"/>
    <w:rsid w:val="003B4F12"/>
    <w:rsid w:val="003E7478"/>
    <w:rsid w:val="004034B8"/>
    <w:rsid w:val="00405E46"/>
    <w:rsid w:val="00425AAA"/>
    <w:rsid w:val="00442186"/>
    <w:rsid w:val="00470F02"/>
    <w:rsid w:val="00480629"/>
    <w:rsid w:val="00481D83"/>
    <w:rsid w:val="004C3F00"/>
    <w:rsid w:val="00506CC8"/>
    <w:rsid w:val="00577B91"/>
    <w:rsid w:val="005D713F"/>
    <w:rsid w:val="005F106E"/>
    <w:rsid w:val="006112B2"/>
    <w:rsid w:val="00694308"/>
    <w:rsid w:val="006A4707"/>
    <w:rsid w:val="006B44E0"/>
    <w:rsid w:val="006E2D02"/>
    <w:rsid w:val="0071430A"/>
    <w:rsid w:val="00772113"/>
    <w:rsid w:val="00793AFD"/>
    <w:rsid w:val="007A7DD9"/>
    <w:rsid w:val="007F1637"/>
    <w:rsid w:val="00811F90"/>
    <w:rsid w:val="00844F1E"/>
    <w:rsid w:val="0086776B"/>
    <w:rsid w:val="00892D4D"/>
    <w:rsid w:val="008C11E6"/>
    <w:rsid w:val="008D6BF2"/>
    <w:rsid w:val="008E6F63"/>
    <w:rsid w:val="008F3799"/>
    <w:rsid w:val="00970162"/>
    <w:rsid w:val="00980411"/>
    <w:rsid w:val="00984E13"/>
    <w:rsid w:val="009C4976"/>
    <w:rsid w:val="00A86E3C"/>
    <w:rsid w:val="00AA6E02"/>
    <w:rsid w:val="00B267A1"/>
    <w:rsid w:val="00B32CC8"/>
    <w:rsid w:val="00B4127A"/>
    <w:rsid w:val="00BD53A4"/>
    <w:rsid w:val="00BE66D2"/>
    <w:rsid w:val="00BF3B74"/>
    <w:rsid w:val="00C32E6E"/>
    <w:rsid w:val="00C66C4C"/>
    <w:rsid w:val="00CF32D4"/>
    <w:rsid w:val="00D175A8"/>
    <w:rsid w:val="00D40662"/>
    <w:rsid w:val="00D54C8D"/>
    <w:rsid w:val="00D66F30"/>
    <w:rsid w:val="00D81796"/>
    <w:rsid w:val="00DA308F"/>
    <w:rsid w:val="00E35E54"/>
    <w:rsid w:val="00E42D57"/>
    <w:rsid w:val="00E8219A"/>
    <w:rsid w:val="00ED1E43"/>
    <w:rsid w:val="00EE1EB9"/>
    <w:rsid w:val="00F056CA"/>
    <w:rsid w:val="00F23C5C"/>
    <w:rsid w:val="00F64564"/>
    <w:rsid w:val="00FA0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AD99E"/>
  <w15:docId w15:val="{539FB577-9DD6-864E-AF41-1C9A802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32D4"/>
  </w:style>
  <w:style w:type="paragraph" w:styleId="Nagwek1">
    <w:name w:val="heading 1"/>
    <w:aliases w:val="h1,new page/chapter"/>
    <w:basedOn w:val="Normalny"/>
    <w:next w:val="Normalny"/>
    <w:link w:val="Nagwek1Znak"/>
    <w:qFormat/>
    <w:rsid w:val="00F64564"/>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64564"/>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64564"/>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64564"/>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9"/>
    <w:qFormat/>
    <w:rsid w:val="00F64564"/>
    <w:pPr>
      <w:numPr>
        <w:ilvl w:val="4"/>
        <w:numId w:val="17"/>
      </w:numPr>
      <w:spacing w:before="280" w:after="240" w:line="252" w:lineRule="auto"/>
      <w:outlineLvl w:val="4"/>
    </w:pPr>
    <w:rPr>
      <w:rFonts w:asciiTheme="majorHAnsi" w:eastAsia="Calibri" w:hAnsiTheme="majorHAnsi" w:cs="Times New Roman"/>
      <w:smallCaps/>
      <w:color w:val="808080" w:themeColor="background1" w:themeShade="80"/>
      <w:spacing w:val="10"/>
      <w:u w:val="single"/>
    </w:rPr>
  </w:style>
  <w:style w:type="paragraph" w:styleId="Nagwek6">
    <w:name w:val="heading 6"/>
    <w:basedOn w:val="Normalny"/>
    <w:next w:val="Normalny"/>
    <w:link w:val="Nagwek6Znak"/>
    <w:uiPriority w:val="9"/>
    <w:semiHidden/>
    <w:unhideWhenUsed/>
    <w:qFormat/>
    <w:rsid w:val="00F64564"/>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6456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6456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6456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42A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A87"/>
  </w:style>
  <w:style w:type="paragraph" w:styleId="Tekstdymka">
    <w:name w:val="Balloon Text"/>
    <w:basedOn w:val="Normalny"/>
    <w:link w:val="TekstdymkaZnak"/>
    <w:uiPriority w:val="99"/>
    <w:semiHidden/>
    <w:unhideWhenUsed/>
    <w:rsid w:val="00342A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2A87"/>
    <w:rPr>
      <w:rFonts w:ascii="Tahoma" w:hAnsi="Tahoma" w:cs="Tahoma"/>
      <w:sz w:val="16"/>
      <w:szCs w:val="16"/>
    </w:rPr>
  </w:style>
  <w:style w:type="paragraph" w:customStyle="1" w:styleId="Titreobjet">
    <w:name w:val="Titre objet"/>
    <w:basedOn w:val="Normalny"/>
    <w:next w:val="Normalny"/>
    <w:rsid w:val="00342A87"/>
    <w:pPr>
      <w:spacing w:before="360" w:after="360" w:line="240" w:lineRule="auto"/>
      <w:jc w:val="center"/>
    </w:pPr>
    <w:rPr>
      <w:rFonts w:ascii="Times New Roman" w:hAnsi="Times New Roman" w:cs="Times New Roman"/>
      <w:b/>
      <w:sz w:val="24"/>
    </w:rPr>
  </w:style>
  <w:style w:type="paragraph" w:customStyle="1" w:styleId="ManualConsidrant">
    <w:name w:val="Manual Considérant"/>
    <w:basedOn w:val="Normalny"/>
    <w:rsid w:val="00342A87"/>
    <w:pPr>
      <w:spacing w:before="120" w:after="120" w:line="240" w:lineRule="auto"/>
      <w:ind w:left="709" w:hanging="709"/>
      <w:jc w:val="both"/>
    </w:pPr>
    <w:rPr>
      <w:rFonts w:ascii="Times New Roman" w:hAnsi="Times New Roman" w:cs="Times New Roman"/>
      <w:sz w:val="24"/>
    </w:rPr>
  </w:style>
  <w:style w:type="paragraph" w:customStyle="1" w:styleId="Formuledadoption">
    <w:name w:val="Formule d'adoption"/>
    <w:basedOn w:val="Normalny"/>
    <w:next w:val="Normalny"/>
    <w:rsid w:val="00342A87"/>
    <w:pPr>
      <w:keepNext/>
      <w:spacing w:before="120" w:after="120" w:line="240" w:lineRule="auto"/>
      <w:jc w:val="both"/>
    </w:pPr>
    <w:rPr>
      <w:rFonts w:ascii="Times New Roman" w:hAnsi="Times New Roman" w:cs="Times New Roman"/>
      <w:sz w:val="24"/>
    </w:rPr>
  </w:style>
  <w:style w:type="paragraph" w:customStyle="1" w:styleId="ManualNumPar1">
    <w:name w:val="Manual NumPar 1"/>
    <w:basedOn w:val="Normalny"/>
    <w:next w:val="Normalny"/>
    <w:rsid w:val="00342A87"/>
    <w:pPr>
      <w:spacing w:before="120" w:after="120" w:line="240" w:lineRule="auto"/>
      <w:ind w:left="850" w:hanging="850"/>
      <w:jc w:val="both"/>
    </w:pPr>
    <w:rPr>
      <w:rFonts w:ascii="Times New Roman" w:hAnsi="Times New Roman" w:cs="Times New Roman"/>
      <w:sz w:val="24"/>
    </w:rPr>
  </w:style>
  <w:style w:type="paragraph" w:styleId="Akapitzlist">
    <w:name w:val="List Paragraph"/>
    <w:basedOn w:val="Normalny"/>
    <w:uiPriority w:val="34"/>
    <w:qFormat/>
    <w:rsid w:val="00342A87"/>
    <w:pPr>
      <w:ind w:left="720"/>
      <w:contextualSpacing/>
    </w:pPr>
  </w:style>
  <w:style w:type="paragraph" w:styleId="Nagwek">
    <w:name w:val="header"/>
    <w:basedOn w:val="Normalny"/>
    <w:link w:val="NagwekZnak"/>
    <w:uiPriority w:val="99"/>
    <w:unhideWhenUsed/>
    <w:rsid w:val="000F19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1933"/>
  </w:style>
  <w:style w:type="character" w:customStyle="1" w:styleId="Nagwek1Znak">
    <w:name w:val="Nagłówek 1 Znak"/>
    <w:aliases w:val="h1 Znak,new page/chapter Znak"/>
    <w:basedOn w:val="Domylnaczcionkaakapitu"/>
    <w:link w:val="Nagwek1"/>
    <w:rsid w:val="00F6456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6456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6456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F6456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9"/>
    <w:rsid w:val="00F64564"/>
    <w:rPr>
      <w:rFonts w:asciiTheme="majorHAnsi" w:eastAsia="Calibri" w:hAnsiTheme="majorHAnsi" w:cs="Times New Roman"/>
      <w:smallCaps/>
      <w:color w:val="808080" w:themeColor="background1" w:themeShade="80"/>
      <w:spacing w:val="10"/>
      <w:u w:val="single"/>
    </w:rPr>
  </w:style>
  <w:style w:type="character" w:customStyle="1" w:styleId="Nagwek6Znak">
    <w:name w:val="Nagłówek 6 Znak"/>
    <w:basedOn w:val="Domylnaczcionkaakapitu"/>
    <w:link w:val="Nagwek6"/>
    <w:uiPriority w:val="9"/>
    <w:semiHidden/>
    <w:rsid w:val="00F64564"/>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6456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64564"/>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64564"/>
    <w:rPr>
      <w:rFonts w:asciiTheme="majorHAnsi" w:eastAsiaTheme="majorEastAsia" w:hAnsiTheme="majorHAnsi" w:cstheme="majorBidi"/>
      <w:i/>
      <w:iCs/>
      <w:color w:val="404040" w:themeColor="text1" w:themeTint="BF"/>
      <w:sz w:val="20"/>
      <w:szCs w:val="20"/>
    </w:rPr>
  </w:style>
  <w:style w:type="paragraph" w:styleId="NormalnyWeb">
    <w:name w:val="Normal (Web)"/>
    <w:basedOn w:val="Normalny"/>
    <w:uiPriority w:val="99"/>
    <w:semiHidden/>
    <w:unhideWhenUsed/>
    <w:rsid w:val="00FA061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40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096383">
      <w:bodyDiv w:val="1"/>
      <w:marLeft w:val="0"/>
      <w:marRight w:val="0"/>
      <w:marTop w:val="0"/>
      <w:marBottom w:val="0"/>
      <w:divBdr>
        <w:top w:val="none" w:sz="0" w:space="0" w:color="auto"/>
        <w:left w:val="none" w:sz="0" w:space="0" w:color="auto"/>
        <w:bottom w:val="none" w:sz="0" w:space="0" w:color="auto"/>
        <w:right w:val="none" w:sz="0" w:space="0" w:color="auto"/>
      </w:divBdr>
    </w:div>
    <w:div w:id="1010714593">
      <w:bodyDiv w:val="1"/>
      <w:marLeft w:val="0"/>
      <w:marRight w:val="0"/>
      <w:marTop w:val="0"/>
      <w:marBottom w:val="0"/>
      <w:divBdr>
        <w:top w:val="none" w:sz="0" w:space="0" w:color="auto"/>
        <w:left w:val="none" w:sz="0" w:space="0" w:color="auto"/>
        <w:bottom w:val="none" w:sz="0" w:space="0" w:color="auto"/>
        <w:right w:val="none" w:sz="0" w:space="0" w:color="auto"/>
      </w:divBdr>
    </w:div>
    <w:div w:id="1131021291">
      <w:bodyDiv w:val="1"/>
      <w:marLeft w:val="0"/>
      <w:marRight w:val="0"/>
      <w:marTop w:val="0"/>
      <w:marBottom w:val="0"/>
      <w:divBdr>
        <w:top w:val="none" w:sz="0" w:space="0" w:color="auto"/>
        <w:left w:val="none" w:sz="0" w:space="0" w:color="auto"/>
        <w:bottom w:val="none" w:sz="0" w:space="0" w:color="auto"/>
        <w:right w:val="none" w:sz="0" w:space="0" w:color="auto"/>
      </w:divBdr>
    </w:div>
    <w:div w:id="1190607170">
      <w:bodyDiv w:val="1"/>
      <w:marLeft w:val="0"/>
      <w:marRight w:val="0"/>
      <w:marTop w:val="0"/>
      <w:marBottom w:val="0"/>
      <w:divBdr>
        <w:top w:val="none" w:sz="0" w:space="0" w:color="auto"/>
        <w:left w:val="none" w:sz="0" w:space="0" w:color="auto"/>
        <w:bottom w:val="none" w:sz="0" w:space="0" w:color="auto"/>
        <w:right w:val="none" w:sz="0" w:space="0" w:color="auto"/>
      </w:divBdr>
    </w:div>
    <w:div w:id="1721052717">
      <w:bodyDiv w:val="1"/>
      <w:marLeft w:val="0"/>
      <w:marRight w:val="0"/>
      <w:marTop w:val="0"/>
      <w:marBottom w:val="0"/>
      <w:divBdr>
        <w:top w:val="none" w:sz="0" w:space="0" w:color="auto"/>
        <w:left w:val="none" w:sz="0" w:space="0" w:color="auto"/>
        <w:bottom w:val="none" w:sz="0" w:space="0" w:color="auto"/>
        <w:right w:val="none" w:sz="0" w:space="0" w:color="auto"/>
      </w:divBdr>
    </w:div>
    <w:div w:id="1852598023">
      <w:bodyDiv w:val="1"/>
      <w:marLeft w:val="0"/>
      <w:marRight w:val="0"/>
      <w:marTop w:val="0"/>
      <w:marBottom w:val="0"/>
      <w:divBdr>
        <w:top w:val="none" w:sz="0" w:space="0" w:color="auto"/>
        <w:left w:val="none" w:sz="0" w:space="0" w:color="auto"/>
        <w:bottom w:val="none" w:sz="0" w:space="0" w:color="auto"/>
        <w:right w:val="none" w:sz="0" w:space="0" w:color="auto"/>
      </w:divBdr>
    </w:div>
    <w:div w:id="1979796696">
      <w:bodyDiv w:val="1"/>
      <w:marLeft w:val="0"/>
      <w:marRight w:val="0"/>
      <w:marTop w:val="0"/>
      <w:marBottom w:val="0"/>
      <w:divBdr>
        <w:top w:val="none" w:sz="0" w:space="0" w:color="auto"/>
        <w:left w:val="none" w:sz="0" w:space="0" w:color="auto"/>
        <w:bottom w:val="none" w:sz="0" w:space="0" w:color="auto"/>
        <w:right w:val="none" w:sz="0" w:space="0" w:color="auto"/>
      </w:divBdr>
      <w:divsChild>
        <w:div w:id="1839732203">
          <w:marLeft w:val="0"/>
          <w:marRight w:val="0"/>
          <w:marTop w:val="0"/>
          <w:marBottom w:val="0"/>
          <w:divBdr>
            <w:top w:val="none" w:sz="0" w:space="0" w:color="auto"/>
            <w:left w:val="none" w:sz="0" w:space="0" w:color="auto"/>
            <w:bottom w:val="none" w:sz="0" w:space="0" w:color="auto"/>
            <w:right w:val="none" w:sz="0" w:space="0" w:color="auto"/>
          </w:divBdr>
          <w:divsChild>
            <w:div w:id="528956206">
              <w:marLeft w:val="0"/>
              <w:marRight w:val="0"/>
              <w:marTop w:val="0"/>
              <w:marBottom w:val="0"/>
              <w:divBdr>
                <w:top w:val="none" w:sz="0" w:space="0" w:color="auto"/>
                <w:left w:val="none" w:sz="0" w:space="0" w:color="auto"/>
                <w:bottom w:val="none" w:sz="0" w:space="0" w:color="auto"/>
                <w:right w:val="none" w:sz="0" w:space="0" w:color="auto"/>
              </w:divBdr>
              <w:divsChild>
                <w:div w:id="11769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2927">
      <w:bodyDiv w:val="1"/>
      <w:marLeft w:val="0"/>
      <w:marRight w:val="0"/>
      <w:marTop w:val="0"/>
      <w:marBottom w:val="0"/>
      <w:divBdr>
        <w:top w:val="none" w:sz="0" w:space="0" w:color="auto"/>
        <w:left w:val="none" w:sz="0" w:space="0" w:color="auto"/>
        <w:bottom w:val="none" w:sz="0" w:space="0" w:color="auto"/>
        <w:right w:val="none" w:sz="0" w:space="0" w:color="auto"/>
      </w:divBdr>
      <w:divsChild>
        <w:div w:id="140586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cc.org.pl/Gospodarczy-Gabinet-Cieni.4241.0.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1066</Words>
  <Characters>6398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Muciński</dc:creator>
  <cp:lastModifiedBy>Mirosław Kasprzak</cp:lastModifiedBy>
  <cp:revision>6</cp:revision>
  <cp:lastPrinted>2021-07-12T06:39:00Z</cp:lastPrinted>
  <dcterms:created xsi:type="dcterms:W3CDTF">2021-10-25T10:34:00Z</dcterms:created>
  <dcterms:modified xsi:type="dcterms:W3CDTF">2021-10-25T12:31:00Z</dcterms:modified>
</cp:coreProperties>
</file>