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3606" w14:textId="77777777" w:rsidR="000027BD" w:rsidRDefault="00AC55B5">
      <w:pPr>
        <w:tabs>
          <w:tab w:val="left" w:pos="0"/>
          <w:tab w:val="left" w:pos="8647"/>
          <w:tab w:val="left" w:pos="9072"/>
        </w:tabs>
        <w:spacing w:after="120" w:line="360" w:lineRule="auto"/>
        <w:jc w:val="center"/>
        <w:rPr>
          <w:rFonts w:ascii="Calibri" w:eastAsia="Calibri" w:hAnsi="Calibri" w:cs="Calibri"/>
          <w:b/>
          <w:i/>
          <w:color w:val="808080"/>
        </w:rPr>
      </w:pPr>
      <w:r>
        <w:rPr>
          <w:noProof/>
        </w:rPr>
        <w:object w:dxaOrig="2231" w:dyaOrig="2290" w14:anchorId="40FED3B0">
          <v:rect id="rectole0000000000" o:spid="_x0000_i1026" alt="" style="width:111.4pt;height:114.5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698223793" r:id="rId6"/>
        </w:object>
      </w:r>
    </w:p>
    <w:p w14:paraId="7D2F5A45" w14:textId="77777777" w:rsidR="000027BD" w:rsidRDefault="000027BD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Arial" w:hAnsi="Arial" w:cs="Arial"/>
          <w:sz w:val="14"/>
        </w:rPr>
      </w:pPr>
    </w:p>
    <w:p w14:paraId="1CA6FDF5" w14:textId="77777777" w:rsidR="000027BD" w:rsidRDefault="000027BD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Arial" w:hAnsi="Arial" w:cs="Arial"/>
          <w:sz w:val="14"/>
        </w:rPr>
      </w:pPr>
    </w:p>
    <w:p w14:paraId="4D696144" w14:textId="208946E0" w:rsidR="000027BD" w:rsidRDefault="00AC55B5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Warszawa, </w:t>
      </w:r>
      <w:r w:rsidR="00134B72">
        <w:rPr>
          <w:rFonts w:ascii="Arial" w:eastAsia="Arial" w:hAnsi="Arial" w:cs="Arial"/>
          <w:sz w:val="14"/>
        </w:rPr>
        <w:t>12</w:t>
      </w:r>
      <w:r>
        <w:rPr>
          <w:rFonts w:ascii="Arial" w:eastAsia="Arial" w:hAnsi="Arial" w:cs="Arial"/>
          <w:sz w:val="14"/>
        </w:rPr>
        <w:t xml:space="preserve"> listopada 2021 r.</w:t>
      </w:r>
    </w:p>
    <w:p w14:paraId="5EC54F8F" w14:textId="77777777" w:rsidR="000027BD" w:rsidRDefault="000027BD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Arial" w:hAnsi="Arial" w:cs="Arial"/>
          <w:sz w:val="14"/>
        </w:rPr>
      </w:pPr>
    </w:p>
    <w:p w14:paraId="528A0354" w14:textId="77777777" w:rsidR="000027BD" w:rsidRDefault="000027BD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Arial" w:hAnsi="Arial" w:cs="Arial"/>
          <w:sz w:val="14"/>
        </w:rPr>
      </w:pPr>
    </w:p>
    <w:p w14:paraId="13AE9A51" w14:textId="77777777" w:rsidR="000027BD" w:rsidRDefault="000027BD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Arial" w:hAnsi="Arial" w:cs="Arial"/>
          <w:b/>
          <w:color w:val="003366"/>
          <w:sz w:val="14"/>
        </w:rPr>
      </w:pPr>
    </w:p>
    <w:p w14:paraId="0ABB09B1" w14:textId="77777777" w:rsidR="00134B72" w:rsidRDefault="00134B72">
      <w:pPr>
        <w:tabs>
          <w:tab w:val="left" w:pos="0"/>
          <w:tab w:val="left" w:pos="8647"/>
          <w:tab w:val="left" w:pos="9072"/>
        </w:tabs>
        <w:spacing w:line="259" w:lineRule="auto"/>
        <w:jc w:val="center"/>
        <w:rPr>
          <w:rFonts w:ascii="Arial" w:eastAsia="Arial" w:hAnsi="Arial" w:cs="Arial"/>
          <w:b/>
          <w:color w:val="808080"/>
          <w:sz w:val="36"/>
        </w:rPr>
      </w:pPr>
    </w:p>
    <w:p w14:paraId="06C96E2A" w14:textId="77777777" w:rsidR="00134B72" w:rsidRDefault="00134B72">
      <w:pPr>
        <w:tabs>
          <w:tab w:val="left" w:pos="0"/>
          <w:tab w:val="left" w:pos="8647"/>
          <w:tab w:val="left" w:pos="9072"/>
        </w:tabs>
        <w:spacing w:line="259" w:lineRule="auto"/>
        <w:jc w:val="center"/>
        <w:rPr>
          <w:rFonts w:ascii="Arial" w:eastAsia="Arial" w:hAnsi="Arial" w:cs="Arial"/>
          <w:b/>
          <w:color w:val="808080"/>
          <w:sz w:val="36"/>
        </w:rPr>
      </w:pPr>
    </w:p>
    <w:p w14:paraId="2C62BF03" w14:textId="446F8EE3" w:rsidR="000027BD" w:rsidRDefault="00AC55B5">
      <w:pPr>
        <w:tabs>
          <w:tab w:val="left" w:pos="0"/>
          <w:tab w:val="left" w:pos="8647"/>
          <w:tab w:val="left" w:pos="9072"/>
        </w:tabs>
        <w:spacing w:line="259" w:lineRule="auto"/>
        <w:jc w:val="center"/>
        <w:rPr>
          <w:rFonts w:ascii="Arial" w:eastAsia="Arial" w:hAnsi="Arial" w:cs="Arial"/>
          <w:b/>
          <w:color w:val="808080"/>
          <w:sz w:val="36"/>
        </w:rPr>
      </w:pPr>
      <w:r>
        <w:rPr>
          <w:rFonts w:ascii="Arial" w:eastAsia="Arial" w:hAnsi="Arial" w:cs="Arial"/>
          <w:b/>
          <w:color w:val="808080"/>
          <w:sz w:val="36"/>
        </w:rPr>
        <w:t>Komentarz</w:t>
      </w:r>
    </w:p>
    <w:p w14:paraId="6346A8A9" w14:textId="77777777" w:rsidR="000027BD" w:rsidRDefault="000027BD">
      <w:pPr>
        <w:rPr>
          <w:rFonts w:ascii="Arial" w:eastAsia="Arial" w:hAnsi="Arial" w:cs="Arial"/>
          <w:b/>
          <w:sz w:val="16"/>
        </w:rPr>
      </w:pPr>
    </w:p>
    <w:p w14:paraId="28C13BAE" w14:textId="77777777" w:rsidR="000027BD" w:rsidRDefault="000027BD">
      <w:pPr>
        <w:jc w:val="center"/>
        <w:rPr>
          <w:rFonts w:ascii="Times New Roman" w:eastAsia="Times New Roman" w:hAnsi="Times New Roman" w:cs="Times New Roman"/>
          <w:b/>
        </w:rPr>
      </w:pPr>
    </w:p>
    <w:p w14:paraId="181B4559" w14:textId="77777777" w:rsidR="000027BD" w:rsidRDefault="00AC55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69403794" w14:textId="77777777" w:rsidR="000027BD" w:rsidRDefault="000027BD">
      <w:pPr>
        <w:rPr>
          <w:rFonts w:ascii="Arial" w:eastAsia="Arial" w:hAnsi="Arial" w:cs="Arial"/>
          <w:i/>
          <w:sz w:val="18"/>
        </w:rPr>
      </w:pPr>
    </w:p>
    <w:p w14:paraId="5FA11735" w14:textId="77777777" w:rsidR="000027BD" w:rsidRDefault="000027BD">
      <w:pPr>
        <w:rPr>
          <w:rFonts w:ascii="Arial" w:eastAsia="Arial" w:hAnsi="Arial" w:cs="Arial"/>
          <w:i/>
          <w:sz w:val="18"/>
        </w:rPr>
      </w:pPr>
    </w:p>
    <w:p w14:paraId="4204426B" w14:textId="77777777" w:rsidR="000027BD" w:rsidRDefault="000027BD">
      <w:pPr>
        <w:rPr>
          <w:rFonts w:ascii="Arial" w:eastAsia="Arial" w:hAnsi="Arial" w:cs="Arial"/>
          <w:i/>
          <w:sz w:val="18"/>
        </w:rPr>
      </w:pPr>
    </w:p>
    <w:p w14:paraId="3874C782" w14:textId="77777777" w:rsidR="000027BD" w:rsidRDefault="000027BD">
      <w:pPr>
        <w:rPr>
          <w:rFonts w:ascii="Arial" w:eastAsia="Arial" w:hAnsi="Arial" w:cs="Arial"/>
          <w:i/>
          <w:sz w:val="18"/>
        </w:rPr>
      </w:pPr>
    </w:p>
    <w:p w14:paraId="73168863" w14:textId="77777777" w:rsidR="000027BD" w:rsidRDefault="000027BD">
      <w:pPr>
        <w:rPr>
          <w:rFonts w:ascii="Arial" w:eastAsia="Arial" w:hAnsi="Arial" w:cs="Arial"/>
          <w:i/>
          <w:sz w:val="18"/>
        </w:rPr>
      </w:pPr>
    </w:p>
    <w:p w14:paraId="427B26B7" w14:textId="44A6F77A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i/>
          <w:sz w:val="18"/>
        </w:rPr>
        <w:t>Samorz</w:t>
      </w:r>
      <w:r>
        <w:rPr>
          <w:rFonts w:ascii="Arial" w:eastAsia="Arial" w:hAnsi="Arial" w:cs="Arial"/>
          <w:i/>
          <w:sz w:val="18"/>
        </w:rPr>
        <w:t xml:space="preserve">ąd terytorialny stoi przed </w:t>
      </w:r>
      <w:r w:rsidR="00134B72">
        <w:rPr>
          <w:rFonts w:ascii="Arial" w:eastAsia="Arial" w:hAnsi="Arial" w:cs="Arial"/>
          <w:i/>
          <w:sz w:val="18"/>
        </w:rPr>
        <w:t>poważnymi</w:t>
      </w:r>
      <w:r>
        <w:rPr>
          <w:rFonts w:ascii="Arial" w:eastAsia="Arial" w:hAnsi="Arial" w:cs="Arial"/>
          <w:i/>
          <w:sz w:val="18"/>
        </w:rPr>
        <w:t xml:space="preserve"> wyzwaniami i zagrożeniami. Jest pewnym paradoksem, iż w sytuacji w której samorząd terytorialny przyczynił się do bezdyskusyjnej i zasadniczej zmiany oblicza naszych miast, miasteczek i wsi, także dzięki strumien</w:t>
      </w:r>
      <w:r>
        <w:rPr>
          <w:rFonts w:ascii="Arial" w:eastAsia="Arial" w:hAnsi="Arial" w:cs="Arial"/>
          <w:i/>
          <w:sz w:val="18"/>
        </w:rPr>
        <w:t>iowi unijnych pieniędzy, a opinia publiczna daje władzom samorządowym o wiele większy od rządu czy parlamentu kredyt zaufania, pojawiła się silna tendencja nakierowane na ograniczenie kompetencji i finansów władz samorządowych oraz podważanie ich wiarygodn</w:t>
      </w:r>
      <w:r>
        <w:rPr>
          <w:rFonts w:ascii="Arial" w:eastAsia="Arial" w:hAnsi="Arial" w:cs="Arial"/>
          <w:i/>
          <w:sz w:val="18"/>
        </w:rPr>
        <w:t>ości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- mówi Jan Król, ekspert BCC, były wicemarszałek Sejmu.</w:t>
      </w:r>
      <w:r>
        <w:rPr>
          <w:rFonts w:ascii="Arial" w:eastAsia="Arial" w:hAnsi="Arial" w:cs="Arial"/>
          <w:sz w:val="18"/>
        </w:rPr>
        <w:t xml:space="preserve"> </w:t>
      </w:r>
    </w:p>
    <w:p w14:paraId="098911ED" w14:textId="77777777" w:rsidR="000027BD" w:rsidRDefault="000027BD">
      <w:pPr>
        <w:jc w:val="both"/>
        <w:rPr>
          <w:rFonts w:ascii="Arial" w:eastAsia="Arial" w:hAnsi="Arial" w:cs="Arial"/>
          <w:sz w:val="18"/>
        </w:rPr>
      </w:pPr>
    </w:p>
    <w:p w14:paraId="6A816399" w14:textId="2145D650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Owe zagrożenia wobec idei samorządności biorą się z przyjętego</w:t>
      </w:r>
      <w:r w:rsidR="00134B72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kursu na </w:t>
      </w:r>
      <w:proofErr w:type="spellStart"/>
      <w:r>
        <w:rPr>
          <w:rFonts w:ascii="Arial" w:eastAsia="Arial" w:hAnsi="Arial" w:cs="Arial"/>
          <w:sz w:val="18"/>
        </w:rPr>
        <w:t>recentralizację</w:t>
      </w:r>
      <w:proofErr w:type="spellEnd"/>
      <w:r>
        <w:rPr>
          <w:rFonts w:ascii="Arial" w:eastAsia="Arial" w:hAnsi="Arial" w:cs="Arial"/>
          <w:sz w:val="18"/>
        </w:rPr>
        <w:t xml:space="preserve"> i etatyzację funkcjonowania władz publicznych. Oto kilka przykładów:</w:t>
      </w:r>
    </w:p>
    <w:p w14:paraId="00D6CEC2" w14:textId="79D24A59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1. </w:t>
      </w:r>
      <w:r w:rsidR="00134B72">
        <w:rPr>
          <w:rFonts w:ascii="Arial" w:eastAsia="Arial" w:hAnsi="Arial" w:cs="Arial"/>
          <w:sz w:val="18"/>
        </w:rPr>
        <w:t>R</w:t>
      </w:r>
      <w:r>
        <w:rPr>
          <w:rFonts w:ascii="Arial" w:eastAsia="Arial" w:hAnsi="Arial" w:cs="Arial"/>
          <w:sz w:val="18"/>
        </w:rPr>
        <w:t>ozmontowywanie państwa pr</w:t>
      </w:r>
      <w:r>
        <w:rPr>
          <w:rFonts w:ascii="Arial" w:eastAsia="Arial" w:hAnsi="Arial" w:cs="Arial"/>
          <w:sz w:val="18"/>
        </w:rPr>
        <w:t>awa. Doprowadzenie do sytuacji, w której Trybunał Konstytucyjny stał się atrapą prawdziwego, a w działaniu sądów i sędziów mamy zagrożenie nie prawomocności podejmowanych decyzji oraz wydawanych wyroków powoduje sytuację, w której rzetelność nadzoru ze str</w:t>
      </w:r>
      <w:r>
        <w:rPr>
          <w:rFonts w:ascii="Arial" w:eastAsia="Arial" w:hAnsi="Arial" w:cs="Arial"/>
          <w:sz w:val="18"/>
        </w:rPr>
        <w:t>ony państwa pod względem legalności samorządowych działań staje pod znakiem zapytania.</w:t>
      </w:r>
    </w:p>
    <w:p w14:paraId="4BC6AAB6" w14:textId="0C551E6E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2.</w:t>
      </w:r>
      <w:r w:rsidR="00134B72">
        <w:rPr>
          <w:rFonts w:ascii="Arial" w:eastAsia="Arial" w:hAnsi="Arial" w:cs="Arial"/>
          <w:sz w:val="18"/>
        </w:rPr>
        <w:t>S</w:t>
      </w:r>
      <w:r>
        <w:rPr>
          <w:rFonts w:ascii="Arial" w:eastAsia="Arial" w:hAnsi="Arial" w:cs="Arial"/>
          <w:sz w:val="18"/>
        </w:rPr>
        <w:t>ukcesywne ograniczanie kompetencji władz samorządowych. I tak przykładowo wbrew stanowisku samorządowców zlikwidowano gimnazja.  Wzmocniono rolę kuratorów przy powoł</w:t>
      </w:r>
      <w:r>
        <w:rPr>
          <w:rFonts w:ascii="Arial" w:eastAsia="Arial" w:hAnsi="Arial" w:cs="Arial"/>
          <w:sz w:val="18"/>
        </w:rPr>
        <w:t>ywaniu dyrektorów szkół i pozbawiono gminy uprawnień do określania sieci szkół. Ośrodki Doradztwa Rolniczego przeszły spod kurateli marszałków pod Ministerstwo Rolnictwa. Zwiększono kontrolę państwa nad Wojewódzkimi Funduszami Ochrony Środowiska poprzez do</w:t>
      </w:r>
      <w:r>
        <w:rPr>
          <w:rFonts w:ascii="Arial" w:eastAsia="Arial" w:hAnsi="Arial" w:cs="Arial"/>
          <w:sz w:val="18"/>
        </w:rPr>
        <w:t xml:space="preserve">minację przedstawicieli rządu w Radach Funduszy. Ograniczono kompetencje Powiatowych Inspektorów Nadzoru Budowlanego oraz w zakresie nazewnictwa ulic i budowy pomników. Pozbawiono istotnych kompetencji w obszarze gospodarki wodnej i ustalania ceny wody. </w:t>
      </w:r>
    </w:p>
    <w:p w14:paraId="1F8FF7D7" w14:textId="30368C2C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 xml:space="preserve">. </w:t>
      </w:r>
      <w:r w:rsidR="00134B72">
        <w:rPr>
          <w:rFonts w:ascii="Arial" w:eastAsia="Arial" w:hAnsi="Arial" w:cs="Arial"/>
          <w:sz w:val="18"/>
        </w:rPr>
        <w:t>Z</w:t>
      </w:r>
      <w:r>
        <w:rPr>
          <w:rFonts w:ascii="Arial" w:eastAsia="Arial" w:hAnsi="Arial" w:cs="Arial"/>
          <w:sz w:val="18"/>
        </w:rPr>
        <w:t xml:space="preserve">mniejszenie stawki PIT, zwolnienie osób do 26. roku życia z płacenia podatku czy podwyższenie kosztów uzyskania przychodów.  Pozornie są to działania </w:t>
      </w:r>
      <w:proofErr w:type="spellStart"/>
      <w:r w:rsidR="00134B72">
        <w:rPr>
          <w:rFonts w:ascii="Arial" w:eastAsia="Arial" w:hAnsi="Arial" w:cs="Arial"/>
          <w:sz w:val="18"/>
        </w:rPr>
        <w:t>proobywatelskie</w:t>
      </w:r>
      <w:proofErr w:type="spellEnd"/>
      <w:r>
        <w:rPr>
          <w:rFonts w:ascii="Arial" w:eastAsia="Arial" w:hAnsi="Arial" w:cs="Arial"/>
          <w:sz w:val="18"/>
        </w:rPr>
        <w:t>, ale faktycznie zmniejszają inwestycje planowane w gminach i uderzające w konsekwencji</w:t>
      </w:r>
      <w:r>
        <w:rPr>
          <w:rFonts w:ascii="Arial" w:eastAsia="Arial" w:hAnsi="Arial" w:cs="Arial"/>
          <w:sz w:val="18"/>
        </w:rPr>
        <w:t xml:space="preserve"> w mieszkańców. </w:t>
      </w:r>
    </w:p>
    <w:p w14:paraId="7123AB60" w14:textId="5B20A242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4. </w:t>
      </w:r>
      <w:r w:rsidR="00134B72">
        <w:rPr>
          <w:rFonts w:ascii="Arial" w:eastAsia="Arial" w:hAnsi="Arial" w:cs="Arial"/>
          <w:sz w:val="18"/>
        </w:rPr>
        <w:t>P</w:t>
      </w:r>
      <w:r>
        <w:rPr>
          <w:rFonts w:ascii="Arial" w:eastAsia="Arial" w:hAnsi="Arial" w:cs="Arial"/>
          <w:sz w:val="18"/>
        </w:rPr>
        <w:t xml:space="preserve">romowanie </w:t>
      </w:r>
      <w:proofErr w:type="spellStart"/>
      <w:r>
        <w:rPr>
          <w:rFonts w:ascii="Arial" w:eastAsia="Arial" w:hAnsi="Arial" w:cs="Arial"/>
          <w:sz w:val="18"/>
        </w:rPr>
        <w:t>klientelistycznych</w:t>
      </w:r>
      <w:proofErr w:type="spellEnd"/>
      <w:r>
        <w:rPr>
          <w:rFonts w:ascii="Arial" w:eastAsia="Arial" w:hAnsi="Arial" w:cs="Arial"/>
          <w:sz w:val="18"/>
        </w:rPr>
        <w:t xml:space="preserve"> i oportunistycznych postaw wśród samorządowców. </w:t>
      </w:r>
    </w:p>
    <w:p w14:paraId="00726B87" w14:textId="77777777" w:rsidR="000027BD" w:rsidRDefault="00AC55B5">
      <w:pPr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i/>
          <w:sz w:val="18"/>
        </w:rPr>
        <w:t> Powy</w:t>
      </w:r>
      <w:r>
        <w:rPr>
          <w:rFonts w:ascii="Arial" w:eastAsia="Arial" w:hAnsi="Arial" w:cs="Arial"/>
          <w:i/>
          <w:sz w:val="18"/>
        </w:rPr>
        <w:t>ższe przykłady stanowiły m.in. przesłankę, że obserwatorzy z ramienia Rady Europy, której jesteśmy jako kraj członkiem, w przygotowanym wiosną 2019 roku raporcie zwrócili już uwagę, że mamy w Polsce do czynienia z postępującą centralizacją państwa oraz odc</w:t>
      </w:r>
      <w:r>
        <w:rPr>
          <w:rFonts w:ascii="Arial" w:eastAsia="Arial" w:hAnsi="Arial" w:cs="Arial"/>
          <w:i/>
          <w:sz w:val="18"/>
        </w:rPr>
        <w:t xml:space="preserve">hodzeniem od Europejskiej Karty Samorządu Terytorialnego, której jesteśmy od 1993 roku sygnatariuszami </w:t>
      </w:r>
      <w:r>
        <w:rPr>
          <w:rFonts w:ascii="Arial" w:eastAsia="Arial" w:hAnsi="Arial" w:cs="Arial"/>
          <w:b/>
          <w:sz w:val="18"/>
        </w:rPr>
        <w:t>- komentuje Jan Król.</w:t>
      </w:r>
    </w:p>
    <w:p w14:paraId="4093D204" w14:textId="77777777" w:rsidR="000027BD" w:rsidRDefault="000027BD">
      <w:pPr>
        <w:jc w:val="both"/>
        <w:rPr>
          <w:rFonts w:ascii="Arial" w:eastAsia="Arial" w:hAnsi="Arial" w:cs="Arial"/>
          <w:sz w:val="18"/>
        </w:rPr>
      </w:pPr>
    </w:p>
    <w:p w14:paraId="01ECB13C" w14:textId="77777777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lastRenderedPageBreak/>
        <w:t> </w:t>
      </w:r>
    </w:p>
    <w:p w14:paraId="7057F833" w14:textId="77777777" w:rsidR="000027BD" w:rsidRDefault="00AC55B5">
      <w:pPr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Zdaniem eksperta BCC priorytetami dla samorządów, ale również lokalnych społeczności, w tym przedsiębiorców są: </w:t>
      </w:r>
    </w:p>
    <w:p w14:paraId="79D9BF93" w14:textId="238F0E25" w:rsidR="000027BD" w:rsidRPr="00134B72" w:rsidRDefault="00AC55B5" w:rsidP="00134B72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18"/>
        </w:rPr>
      </w:pPr>
      <w:r w:rsidRPr="00134B72">
        <w:rPr>
          <w:rFonts w:ascii="Arial" w:eastAsia="Arial" w:hAnsi="Arial" w:cs="Arial"/>
          <w:sz w:val="18"/>
        </w:rPr>
        <w:t>zagrożenie k</w:t>
      </w:r>
      <w:r w:rsidRPr="00134B72">
        <w:rPr>
          <w:rFonts w:ascii="Arial" w:eastAsia="Arial" w:hAnsi="Arial" w:cs="Arial"/>
          <w:sz w:val="18"/>
        </w:rPr>
        <w:t>limatyczne oraz walka z zanieczyszczeniem powietrza,</w:t>
      </w:r>
    </w:p>
    <w:p w14:paraId="319775B2" w14:textId="71BEC114" w:rsidR="000027BD" w:rsidRPr="00134B72" w:rsidRDefault="00AC55B5" w:rsidP="00134B72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18"/>
        </w:rPr>
      </w:pPr>
      <w:r w:rsidRPr="00134B72">
        <w:rPr>
          <w:rFonts w:ascii="Arial" w:eastAsia="Arial" w:hAnsi="Arial" w:cs="Arial"/>
          <w:sz w:val="18"/>
        </w:rPr>
        <w:t xml:space="preserve">zmiana priorytetów inwestycyjnych, z infrastrukturalnych na prorozwojowe, </w:t>
      </w:r>
    </w:p>
    <w:p w14:paraId="1A8AFAEB" w14:textId="568CAA2C" w:rsidR="000027BD" w:rsidRPr="00134B72" w:rsidRDefault="00AC55B5" w:rsidP="00134B72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18"/>
        </w:rPr>
      </w:pPr>
      <w:r w:rsidRPr="00134B72">
        <w:rPr>
          <w:rFonts w:ascii="Arial" w:eastAsia="Arial" w:hAnsi="Arial" w:cs="Arial"/>
          <w:sz w:val="18"/>
        </w:rPr>
        <w:t>opanowanie nieładu przestrzennego i wprowadzenie wymogów estetyki przestrzeni publicznej,</w:t>
      </w:r>
    </w:p>
    <w:p w14:paraId="60C8C743" w14:textId="2F1C86D9" w:rsidR="000027BD" w:rsidRPr="00134B72" w:rsidRDefault="00AC55B5" w:rsidP="00134B72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18"/>
        </w:rPr>
      </w:pPr>
      <w:r w:rsidRPr="00134B72">
        <w:rPr>
          <w:rFonts w:ascii="Arial" w:eastAsia="Arial" w:hAnsi="Arial" w:cs="Arial"/>
          <w:sz w:val="18"/>
        </w:rPr>
        <w:t xml:space="preserve">starzenie się i zmniejszanie </w:t>
      </w:r>
      <w:r w:rsidRPr="00134B72">
        <w:rPr>
          <w:rFonts w:ascii="Arial" w:eastAsia="Arial" w:hAnsi="Arial" w:cs="Arial"/>
          <w:sz w:val="18"/>
        </w:rPr>
        <w:t>populacji Polaków,</w:t>
      </w:r>
    </w:p>
    <w:p w14:paraId="11913088" w14:textId="37CFF9F2" w:rsidR="000027BD" w:rsidRPr="00134B72" w:rsidRDefault="00AC55B5" w:rsidP="00134B72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18"/>
        </w:rPr>
      </w:pPr>
      <w:r w:rsidRPr="00134B72">
        <w:rPr>
          <w:rFonts w:ascii="Arial" w:eastAsia="Arial" w:hAnsi="Arial" w:cs="Arial"/>
          <w:sz w:val="18"/>
        </w:rPr>
        <w:t>wprowadzenie niskoemisyjnych środków transportu,</w:t>
      </w:r>
    </w:p>
    <w:p w14:paraId="09FF870F" w14:textId="1DFA896E" w:rsidR="000027BD" w:rsidRPr="00134B72" w:rsidRDefault="00AC55B5" w:rsidP="00134B72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18"/>
        </w:rPr>
      </w:pPr>
      <w:r w:rsidRPr="00134B72">
        <w:rPr>
          <w:rFonts w:ascii="Arial" w:eastAsia="Arial" w:hAnsi="Arial" w:cs="Arial"/>
          <w:sz w:val="18"/>
        </w:rPr>
        <w:t xml:space="preserve">wzmacnianie demokracji lokalnej poprzez </w:t>
      </w:r>
      <w:proofErr w:type="spellStart"/>
      <w:r w:rsidRPr="00134B72">
        <w:rPr>
          <w:rFonts w:ascii="Arial" w:eastAsia="Arial" w:hAnsi="Arial" w:cs="Arial"/>
          <w:sz w:val="18"/>
        </w:rPr>
        <w:t>deliberatywne</w:t>
      </w:r>
      <w:proofErr w:type="spellEnd"/>
      <w:r w:rsidRPr="00134B72">
        <w:rPr>
          <w:rFonts w:ascii="Arial" w:eastAsia="Arial" w:hAnsi="Arial" w:cs="Arial"/>
          <w:sz w:val="18"/>
        </w:rPr>
        <w:t xml:space="preserve"> procedury podejmowania decyzji, </w:t>
      </w:r>
    </w:p>
    <w:p w14:paraId="2AED0006" w14:textId="77777777" w:rsidR="000027BD" w:rsidRDefault="000027BD">
      <w:pPr>
        <w:jc w:val="both"/>
        <w:rPr>
          <w:rFonts w:ascii="Arial" w:eastAsia="Arial" w:hAnsi="Arial" w:cs="Arial"/>
          <w:sz w:val="18"/>
        </w:rPr>
      </w:pPr>
    </w:p>
    <w:p w14:paraId="6126BB26" w14:textId="77777777" w:rsidR="000027BD" w:rsidRDefault="00AC55B5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i/>
          <w:sz w:val="18"/>
        </w:rPr>
        <w:t>To tylko kilka wyzwań przed którymi stają samorządy i przedsiębiorcy. Niestety przy centralis</w:t>
      </w:r>
      <w:r>
        <w:rPr>
          <w:rFonts w:ascii="Arial" w:eastAsia="Arial" w:hAnsi="Arial" w:cs="Arial"/>
          <w:i/>
          <w:sz w:val="18"/>
        </w:rPr>
        <w:t>tycznej polityce obecnego rządu zagrożenia mogą przeważyć zdolność podejmowania i pokonywania wyzwań. Jak mawiał prof. Jerzy Regulski: „Najłatwiej jest zmienić prawo, trudniej przekształcić instytucje, a najtrudniej zmienić ludzką mentalność i nawyki”.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 xml:space="preserve">- </w:t>
      </w:r>
      <w:r>
        <w:rPr>
          <w:rFonts w:ascii="Arial" w:eastAsia="Arial" w:hAnsi="Arial" w:cs="Arial"/>
          <w:b/>
          <w:sz w:val="18"/>
        </w:rPr>
        <w:t>podsumowuje Jan Król.</w:t>
      </w:r>
    </w:p>
    <w:p w14:paraId="25E679E5" w14:textId="77777777" w:rsidR="000027BD" w:rsidRDefault="00AC55B5">
      <w:pPr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 </w:t>
      </w:r>
    </w:p>
    <w:p w14:paraId="15DF1EE9" w14:textId="77777777" w:rsidR="000027BD" w:rsidRDefault="000027BD">
      <w:pPr>
        <w:rPr>
          <w:rFonts w:ascii="Arial" w:eastAsia="Arial" w:hAnsi="Arial" w:cs="Arial"/>
          <w:sz w:val="18"/>
        </w:rPr>
      </w:pPr>
    </w:p>
    <w:p w14:paraId="2BB18685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548266CB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29AE68B7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22F40EB2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07E490D1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669466B5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66352437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1FBB327E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6B8CBD73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114CCF07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4AAF08E6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37F532BA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54A7D4DF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459E5DE8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67856086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02D4ED51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3DA100D6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620D391D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3054F0F7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45AD0EFE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1B250942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76E0DA6D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2B28834E" w14:textId="77777777" w:rsidR="000027BD" w:rsidRDefault="00AC55B5">
      <w:pPr>
        <w:rPr>
          <w:rFonts w:ascii="Times New Roman" w:eastAsia="Times New Roman" w:hAnsi="Times New Roman" w:cs="Times New Roman"/>
        </w:rPr>
      </w:pPr>
      <w:r>
        <w:rPr>
          <w:noProof/>
        </w:rPr>
        <w:object w:dxaOrig="1210" w:dyaOrig="1488" w14:anchorId="61E62206">
          <v:rect id="rectole0000000001" o:spid="_x0000_i1025" alt="" style="width:60.45pt;height:74.65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1" DrawAspect="Content" ObjectID="_1698223794" r:id="rId8"/>
        </w:object>
      </w:r>
    </w:p>
    <w:p w14:paraId="4C421CFB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38C87E20" w14:textId="77777777" w:rsidR="000027BD" w:rsidRDefault="000027BD">
      <w:pPr>
        <w:rPr>
          <w:rFonts w:ascii="Times New Roman" w:eastAsia="Times New Roman" w:hAnsi="Times New Roman" w:cs="Times New Roman"/>
        </w:rPr>
      </w:pPr>
    </w:p>
    <w:p w14:paraId="7E9B62C5" w14:textId="77777777" w:rsidR="000027BD" w:rsidRDefault="000027BD">
      <w:pPr>
        <w:rPr>
          <w:rFonts w:ascii="Calibri" w:eastAsia="Calibri" w:hAnsi="Calibri" w:cs="Calibri"/>
          <w:color w:val="3D3D3D"/>
          <w:sz w:val="22"/>
        </w:rPr>
      </w:pPr>
    </w:p>
    <w:p w14:paraId="2A2914E8" w14:textId="77777777" w:rsidR="000027BD" w:rsidRDefault="000027BD">
      <w:pPr>
        <w:rPr>
          <w:rFonts w:ascii="Calibri" w:eastAsia="Calibri" w:hAnsi="Calibri" w:cs="Calibri"/>
          <w:color w:val="3D3D3D"/>
          <w:sz w:val="22"/>
        </w:rPr>
      </w:pPr>
    </w:p>
    <w:p w14:paraId="0513CD25" w14:textId="77777777" w:rsidR="000027BD" w:rsidRDefault="00AC55B5">
      <w:pPr>
        <w:rPr>
          <w:rFonts w:ascii="Arial" w:eastAsia="Arial" w:hAnsi="Arial" w:cs="Arial"/>
          <w:b/>
          <w:color w:val="3D3D3D"/>
          <w:sz w:val="18"/>
        </w:rPr>
      </w:pPr>
      <w:r>
        <w:rPr>
          <w:rFonts w:ascii="Calibri" w:eastAsia="Calibri" w:hAnsi="Calibri" w:cs="Calibri"/>
          <w:color w:val="3D3D3D"/>
          <w:sz w:val="22"/>
        </w:rPr>
        <w:br/>
      </w:r>
      <w:r>
        <w:rPr>
          <w:rFonts w:ascii="Arial" w:eastAsia="Arial" w:hAnsi="Arial" w:cs="Arial"/>
          <w:b/>
          <w:color w:val="3D3D3D"/>
          <w:sz w:val="18"/>
        </w:rPr>
        <w:t>Jan Król</w:t>
      </w:r>
      <w:r>
        <w:rPr>
          <w:rFonts w:ascii="Arial" w:eastAsia="Arial" w:hAnsi="Arial" w:cs="Arial"/>
          <w:b/>
          <w:color w:val="3D3D3D"/>
          <w:sz w:val="18"/>
        </w:rPr>
        <w:br/>
        <w:t>ekspert BCC ds. gospodarki, społeczeństwa i polityki</w:t>
      </w:r>
    </w:p>
    <w:p w14:paraId="63B1B525" w14:textId="77777777" w:rsidR="000027BD" w:rsidRPr="00134B72" w:rsidRDefault="00AC55B5">
      <w:pPr>
        <w:rPr>
          <w:rFonts w:ascii="Arial" w:eastAsia="Arial" w:hAnsi="Arial" w:cs="Arial"/>
          <w:b/>
          <w:i/>
          <w:color w:val="808080"/>
          <w:sz w:val="18"/>
          <w:lang w:val="en-US"/>
        </w:rPr>
      </w:pPr>
      <w:proofErr w:type="spellStart"/>
      <w:r w:rsidRPr="00134B72">
        <w:rPr>
          <w:rFonts w:ascii="Arial" w:eastAsia="Arial" w:hAnsi="Arial" w:cs="Arial"/>
          <w:b/>
          <w:color w:val="3D3D3D"/>
          <w:sz w:val="18"/>
          <w:lang w:val="en-US"/>
        </w:rPr>
        <w:t>tel</w:t>
      </w:r>
      <w:proofErr w:type="spellEnd"/>
      <w:r w:rsidRPr="00134B72">
        <w:rPr>
          <w:rFonts w:ascii="Arial" w:eastAsia="Arial" w:hAnsi="Arial" w:cs="Arial"/>
          <w:b/>
          <w:color w:val="3D3D3D"/>
          <w:sz w:val="18"/>
          <w:lang w:val="en-US"/>
        </w:rPr>
        <w:t xml:space="preserve">: 505 104 070 </w:t>
      </w:r>
      <w:r w:rsidRPr="00134B72">
        <w:rPr>
          <w:rFonts w:ascii="Arial" w:eastAsia="Arial" w:hAnsi="Arial" w:cs="Arial"/>
          <w:b/>
          <w:color w:val="3D3D3D"/>
          <w:sz w:val="18"/>
          <w:lang w:val="en-US"/>
        </w:rPr>
        <w:br/>
        <w:t xml:space="preserve">e-mail: </w:t>
      </w:r>
      <w:r w:rsidRPr="00134B72">
        <w:rPr>
          <w:rFonts w:ascii="Arial" w:eastAsia="Arial" w:hAnsi="Arial" w:cs="Arial"/>
          <w:b/>
          <w:color w:val="2EA3F2"/>
          <w:sz w:val="18"/>
          <w:lang w:val="en-US"/>
        </w:rPr>
        <w:t>jan.krol@bcc.org.pl</w:t>
      </w:r>
    </w:p>
    <w:p w14:paraId="337F28D4" w14:textId="77777777" w:rsidR="000027BD" w:rsidRDefault="00AC55B5">
      <w:pPr>
        <w:jc w:val="both"/>
        <w:rPr>
          <w:rFonts w:ascii="Calibri" w:eastAsia="Calibri" w:hAnsi="Calibri" w:cs="Calibri"/>
          <w:i/>
          <w:color w:val="808080"/>
          <w:sz w:val="10"/>
        </w:rPr>
      </w:pPr>
      <w:r>
        <w:rPr>
          <w:rFonts w:ascii="Calibri" w:eastAsia="Calibri" w:hAnsi="Calibri" w:cs="Calibri"/>
          <w:b/>
          <w:i/>
          <w:color w:val="808080"/>
          <w:sz w:val="10"/>
        </w:rPr>
        <w:t>Business Centre Club</w:t>
      </w:r>
      <w:r>
        <w:rPr>
          <w:rFonts w:ascii="Calibri" w:eastAsia="Calibri" w:hAnsi="Calibri" w:cs="Calibri"/>
          <w:i/>
          <w:color w:val="808080"/>
          <w:sz w:val="10"/>
        </w:rPr>
        <w:t xml:space="preserve"> powsta</w:t>
      </w:r>
      <w:r>
        <w:rPr>
          <w:rFonts w:ascii="Calibri" w:eastAsia="Calibri" w:hAnsi="Calibri" w:cs="Calibri"/>
          <w:i/>
          <w:color w:val="808080"/>
          <w:sz w:val="10"/>
        </w:rPr>
        <w:t>ł pod koniec XX w., w 1991 roku. Jest prestiżowym Klubem przedsiębiorców i największą w kraju ustawową organizacją indywidualnych pracodawców. Grupa BCC składa się z Klubu BCC, Związku Pracodawców BCC i Studenckiego Forum BCC. Członkowie BCC zatrudniają po</w:t>
      </w:r>
      <w:r>
        <w:rPr>
          <w:rFonts w:ascii="Calibri" w:eastAsia="Calibri" w:hAnsi="Calibri" w:cs="Calibri"/>
          <w:i/>
          <w:color w:val="808080"/>
          <w:sz w:val="10"/>
        </w:rPr>
        <w:t>nad 400 tys. pracowników, obroty firm sięgają 20 miliardów złotych a siedziby rozlokowane są w blisko 250 miastach. Na terenie całej Polski działają 22 loże regionalne. Do BCC należą przedstawiciele wszystkich branż, międzynarodowe korporacje, instytucje f</w:t>
      </w:r>
      <w:r>
        <w:rPr>
          <w:rFonts w:ascii="Calibri" w:eastAsia="Calibri" w:hAnsi="Calibri" w:cs="Calibri"/>
          <w:i/>
          <w:color w:val="808080"/>
          <w:sz w:val="10"/>
        </w:rPr>
        <w:t>inansowe i ubezpieczeniowe, firmy telekomunikacyjne, najwięksi polscy producenci, uczelnie wyższe, koncerny wydawnicze i znane kancelarie prawne. Członkami Klubu są także prawnicy, dziennikarze, naukowcy, wydawcy, lekarze, wojskowi i studenci. BCC koncentr</w:t>
      </w:r>
      <w:r>
        <w:rPr>
          <w:rFonts w:ascii="Calibri" w:eastAsia="Calibri" w:hAnsi="Calibri" w:cs="Calibri"/>
          <w:i/>
          <w:color w:val="808080"/>
          <w:sz w:val="10"/>
        </w:rPr>
        <w:t>uje się na działaniach na rzecz rozwoju gospodarki i pomocy przedsiębiorcom, jest ustawowym członkiem Rady Dialogu Społecznego. Koordynatorem wszystkich działań BCC jest Marek Goliszewski.</w:t>
      </w:r>
    </w:p>
    <w:p w14:paraId="304E256F" w14:textId="77777777" w:rsidR="000027BD" w:rsidRDefault="00AC55B5">
      <w:pPr>
        <w:jc w:val="both"/>
        <w:rPr>
          <w:rFonts w:ascii="Arial" w:eastAsia="Arial" w:hAnsi="Arial" w:cs="Arial"/>
          <w:sz w:val="22"/>
        </w:rPr>
      </w:pPr>
      <w:r>
        <w:rPr>
          <w:rFonts w:ascii="Calibri" w:eastAsia="Calibri" w:hAnsi="Calibri" w:cs="Calibri"/>
          <w:i/>
          <w:color w:val="808080"/>
          <w:sz w:val="10"/>
        </w:rPr>
        <w:t xml:space="preserve">Kontakty prasowe: </w:t>
      </w:r>
      <w:hyperlink r:id="rId9">
        <w:r>
          <w:rPr>
            <w:rFonts w:ascii="Calibri" w:eastAsia="Calibri" w:hAnsi="Calibri" w:cs="Calibri"/>
            <w:i/>
            <w:color w:val="0000FF"/>
            <w:sz w:val="10"/>
            <w:u w:val="single"/>
          </w:rPr>
          <w:t>https://www.bcc.org.pl/strefa_eksperta/kontakty-do-ekspertow</w:t>
        </w:r>
      </w:hyperlink>
      <w:r>
        <w:rPr>
          <w:rFonts w:ascii="Calibri" w:eastAsia="Calibri" w:hAnsi="Calibri" w:cs="Calibri"/>
          <w:i/>
          <w:color w:val="808080"/>
          <w:sz w:val="10"/>
        </w:rPr>
        <w:t xml:space="preserve">, więcej: </w:t>
      </w:r>
      <w:hyperlink r:id="rId10">
        <w:r>
          <w:rPr>
            <w:rFonts w:ascii="Calibri" w:eastAsia="Calibri" w:hAnsi="Calibri" w:cs="Calibri"/>
            <w:i/>
            <w:color w:val="0000FF"/>
            <w:sz w:val="10"/>
            <w:u w:val="single"/>
          </w:rPr>
          <w:t>https://www.bcc.org.pl/</w:t>
        </w:r>
      </w:hyperlink>
      <w:r>
        <w:rPr>
          <w:rFonts w:ascii="Calibri" w:eastAsia="Calibri" w:hAnsi="Calibri" w:cs="Calibri"/>
          <w:i/>
          <w:color w:val="808080"/>
          <w:sz w:val="10"/>
        </w:rPr>
        <w:t xml:space="preserve"> oraz: </w:t>
      </w:r>
      <w:hyperlink r:id="rId11">
        <w:r>
          <w:rPr>
            <w:rFonts w:ascii="Calibri" w:eastAsia="Calibri" w:hAnsi="Calibri" w:cs="Calibri"/>
            <w:i/>
            <w:color w:val="808080"/>
            <w:sz w:val="10"/>
            <w:u w:val="single"/>
          </w:rPr>
          <w:t>https://www.</w:t>
        </w:r>
        <w:r>
          <w:rPr>
            <w:rFonts w:ascii="Calibri" w:eastAsia="Calibri" w:hAnsi="Calibri" w:cs="Calibri"/>
            <w:i/>
            <w:color w:val="808080"/>
            <w:sz w:val="10"/>
          </w:rPr>
          <w:t xml:space="preserve"> HYPERLINK "https://www.facebook.com/businesscentreclub"</w:t>
        </w:r>
        <w:r>
          <w:rPr>
            <w:rFonts w:ascii="Calibri" w:eastAsia="Calibri" w:hAnsi="Calibri" w:cs="Calibri"/>
            <w:i/>
            <w:color w:val="808080"/>
            <w:sz w:val="10"/>
            <w:u w:val="single"/>
          </w:rPr>
          <w:t>facebook.com/businesscentreclub</w:t>
        </w:r>
      </w:hyperlink>
    </w:p>
    <w:sectPr w:rsidR="0000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4318"/>
    <w:multiLevelType w:val="hybridMultilevel"/>
    <w:tmpl w:val="6836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D25B6"/>
    <w:multiLevelType w:val="hybridMultilevel"/>
    <w:tmpl w:val="147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517A7"/>
    <w:multiLevelType w:val="hybridMultilevel"/>
    <w:tmpl w:val="10CEEBB0"/>
    <w:lvl w:ilvl="0" w:tplc="1B5C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BD"/>
    <w:rsid w:val="000027BD"/>
    <w:rsid w:val="00134B72"/>
    <w:rsid w:val="0044572E"/>
    <w:rsid w:val="00AC55B5"/>
    <w:rsid w:val="00D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80B2"/>
  <w15:docId w15:val="{F1604399-DA09-F149-8BC7-651CDC64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facebook.com/businesscentreclub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www.bcc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c.org.pl/strefa_eksperta/kontakty-do-eksper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Mirosław Kasprzak</cp:lastModifiedBy>
  <cp:revision>2</cp:revision>
  <dcterms:created xsi:type="dcterms:W3CDTF">2021-11-12T11:03:00Z</dcterms:created>
  <dcterms:modified xsi:type="dcterms:W3CDTF">2021-11-12T11:03:00Z</dcterms:modified>
</cp:coreProperties>
</file>