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05D30" w14:textId="19BF509F" w:rsidR="00E32AE3" w:rsidRDefault="00AD31D9">
      <w:pPr>
        <w:tabs>
          <w:tab w:val="left" w:pos="0"/>
          <w:tab w:val="left" w:pos="8647"/>
          <w:tab w:val="left" w:pos="9072"/>
        </w:tabs>
        <w:spacing w:after="120" w:line="360" w:lineRule="auto"/>
        <w:jc w:val="center"/>
        <w:rPr>
          <w:rFonts w:ascii="Calibri" w:eastAsia="Calibri" w:hAnsi="Calibri" w:cs="Calibri"/>
          <w:b/>
          <w:i/>
          <w:color w:val="808080"/>
          <w:sz w:val="24"/>
          <w:szCs w:val="24"/>
        </w:rPr>
      </w:pPr>
      <w:r>
        <w:rPr>
          <w:rFonts w:ascii="Calibri" w:eastAsia="Calibri" w:hAnsi="Calibri" w:cs="Times New Roman"/>
          <w:b/>
          <w:i/>
          <w:noProof/>
          <w:color w:val="808080" w:themeColor="background1" w:themeShade="80"/>
          <w:sz w:val="24"/>
          <w:szCs w:val="24"/>
          <w:lang w:val="pl-PL"/>
        </w:rPr>
        <w:drawing>
          <wp:inline distT="0" distB="0" distL="0" distR="0" wp14:anchorId="5B84AF96" wp14:editId="1B58DCB3">
            <wp:extent cx="2336058" cy="1108130"/>
            <wp:effectExtent l="0" t="0" r="1270" b="0"/>
            <wp:docPr id="2" name="Obraz 2" descr="C:\Users\emil.mucinski\Documents\BCC\BCC - WAŻNE INFORMACJE I LOGO\BCC_2019_posredni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.mucinski\Documents\BCC\BCC - WAŻNE INFORMACJE I LOGO\BCC_2019_posredni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11" cy="113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3C84A" w14:textId="0A97719B" w:rsidR="00E32AE3" w:rsidRDefault="00687D50">
      <w:pPr>
        <w:tabs>
          <w:tab w:val="left" w:pos="0"/>
          <w:tab w:val="left" w:pos="8647"/>
          <w:tab w:val="left" w:pos="9072"/>
        </w:tabs>
        <w:spacing w:after="120" w:line="360" w:lineRule="auto"/>
        <w:jc w:val="right"/>
        <w:rPr>
          <w:b/>
          <w:smallCaps/>
          <w:color w:val="003366"/>
          <w:sz w:val="14"/>
          <w:szCs w:val="14"/>
        </w:rPr>
      </w:pPr>
      <w:r>
        <w:rPr>
          <w:sz w:val="14"/>
          <w:szCs w:val="14"/>
        </w:rPr>
        <w:t xml:space="preserve">Warszawa, </w:t>
      </w:r>
      <w:r w:rsidR="00A046F2">
        <w:rPr>
          <w:sz w:val="14"/>
          <w:szCs w:val="14"/>
        </w:rPr>
        <w:t xml:space="preserve">12 </w:t>
      </w:r>
      <w:proofErr w:type="gramStart"/>
      <w:r w:rsidR="00A046F2">
        <w:rPr>
          <w:sz w:val="14"/>
          <w:szCs w:val="14"/>
        </w:rPr>
        <w:t xml:space="preserve">lipca </w:t>
      </w:r>
      <w:r w:rsidR="00B00F3F">
        <w:rPr>
          <w:sz w:val="14"/>
          <w:szCs w:val="14"/>
        </w:rPr>
        <w:t xml:space="preserve"> 2022</w:t>
      </w:r>
      <w:proofErr w:type="gramEnd"/>
      <w:r w:rsidR="00AD31D9">
        <w:rPr>
          <w:sz w:val="14"/>
          <w:szCs w:val="14"/>
        </w:rPr>
        <w:t xml:space="preserve"> r.</w:t>
      </w:r>
    </w:p>
    <w:p w14:paraId="174E59BC" w14:textId="68B7A1B4" w:rsidR="00B30F91" w:rsidRDefault="00A046F2" w:rsidP="005C0BFA">
      <w:pPr>
        <w:pBdr>
          <w:top w:val="single" w:sz="4" w:space="0" w:color="C00000"/>
          <w:left w:val="single" w:sz="4" w:space="4" w:color="C00000"/>
          <w:bottom w:val="single" w:sz="4" w:space="1" w:color="C00000"/>
          <w:right w:val="single" w:sz="4" w:space="4" w:color="C00000"/>
        </w:pBdr>
        <w:tabs>
          <w:tab w:val="left" w:pos="0"/>
          <w:tab w:val="left" w:pos="8647"/>
          <w:tab w:val="left" w:pos="9072"/>
        </w:tabs>
        <w:spacing w:line="259" w:lineRule="auto"/>
        <w:jc w:val="center"/>
        <w:rPr>
          <w:b/>
          <w:smallCaps/>
          <w:color w:val="808080"/>
          <w:sz w:val="36"/>
          <w:szCs w:val="36"/>
        </w:rPr>
      </w:pPr>
      <w:r>
        <w:rPr>
          <w:b/>
          <w:smallCaps/>
          <w:color w:val="808080"/>
          <w:sz w:val="36"/>
          <w:szCs w:val="36"/>
        </w:rPr>
        <w:t>OPINIA</w:t>
      </w:r>
    </w:p>
    <w:p w14:paraId="051DEFC6" w14:textId="1F3A60B1" w:rsidR="00896077" w:rsidRDefault="00896077" w:rsidP="008C6616">
      <w:pPr>
        <w:spacing w:line="360" w:lineRule="auto"/>
        <w:rPr>
          <w:rFonts w:eastAsia="Times New Roman"/>
          <w:color w:val="222222"/>
          <w:sz w:val="18"/>
          <w:szCs w:val="18"/>
          <w:lang w:val="pl-PL"/>
        </w:rPr>
      </w:pPr>
    </w:p>
    <w:p w14:paraId="72388415" w14:textId="3238AEB2" w:rsidR="00B30F91" w:rsidRDefault="00B30F91" w:rsidP="008C6616">
      <w:pPr>
        <w:spacing w:line="360" w:lineRule="auto"/>
        <w:rPr>
          <w:rFonts w:eastAsia="Times New Roman"/>
          <w:color w:val="222222"/>
          <w:sz w:val="18"/>
          <w:szCs w:val="18"/>
          <w:lang w:val="pl-PL"/>
        </w:rPr>
      </w:pPr>
    </w:p>
    <w:p w14:paraId="4479E345" w14:textId="6EEDEEA5" w:rsidR="00A046F2" w:rsidRPr="00E3030F" w:rsidRDefault="00A046F2" w:rsidP="00A046F2">
      <w:pPr>
        <w:spacing w:after="120" w:line="360" w:lineRule="auto"/>
        <w:jc w:val="both"/>
        <w:rPr>
          <w:sz w:val="20"/>
          <w:szCs w:val="20"/>
        </w:rPr>
      </w:pPr>
      <w:r w:rsidRPr="00E3030F">
        <w:rPr>
          <w:sz w:val="20"/>
          <w:szCs w:val="20"/>
        </w:rPr>
        <w:tab/>
      </w:r>
      <w:r w:rsidRPr="00E3030F">
        <w:rPr>
          <w:sz w:val="20"/>
          <w:szCs w:val="20"/>
        </w:rPr>
        <w:tab/>
      </w:r>
      <w:r w:rsidRPr="00E3030F">
        <w:rPr>
          <w:sz w:val="20"/>
          <w:szCs w:val="20"/>
        </w:rPr>
        <w:tab/>
      </w:r>
      <w:r w:rsidRPr="00E3030F">
        <w:rPr>
          <w:sz w:val="20"/>
          <w:szCs w:val="20"/>
        </w:rPr>
        <w:tab/>
      </w:r>
      <w:r w:rsidRPr="00E3030F">
        <w:rPr>
          <w:sz w:val="20"/>
          <w:szCs w:val="20"/>
        </w:rPr>
        <w:tab/>
      </w:r>
      <w:r w:rsidRPr="00E3030F">
        <w:rPr>
          <w:sz w:val="20"/>
          <w:szCs w:val="20"/>
        </w:rPr>
        <w:tab/>
      </w:r>
      <w:r w:rsidRPr="00E3030F">
        <w:rPr>
          <w:sz w:val="20"/>
          <w:szCs w:val="20"/>
        </w:rPr>
        <w:tab/>
      </w:r>
      <w:r w:rsidRPr="00E3030F">
        <w:rPr>
          <w:sz w:val="20"/>
          <w:szCs w:val="20"/>
        </w:rPr>
        <w:tab/>
      </w:r>
      <w:bookmarkStart w:id="0" w:name="_Hlk108472126"/>
      <w:r w:rsidRPr="00E3030F">
        <w:rPr>
          <w:sz w:val="20"/>
          <w:szCs w:val="20"/>
        </w:rPr>
        <w:t xml:space="preserve"> </w:t>
      </w:r>
    </w:p>
    <w:p w14:paraId="1310B59F" w14:textId="77777777" w:rsidR="00A046F2" w:rsidRPr="00E3030F" w:rsidRDefault="00A046F2" w:rsidP="00A046F2">
      <w:pPr>
        <w:spacing w:after="120" w:line="360" w:lineRule="auto"/>
        <w:jc w:val="both"/>
        <w:rPr>
          <w:sz w:val="20"/>
          <w:szCs w:val="20"/>
        </w:rPr>
      </w:pPr>
      <w:r w:rsidRPr="00E3030F">
        <w:rPr>
          <w:sz w:val="20"/>
          <w:szCs w:val="20"/>
        </w:rPr>
        <w:tab/>
        <w:t xml:space="preserve">         </w:t>
      </w:r>
    </w:p>
    <w:p w14:paraId="0314494A" w14:textId="77777777" w:rsidR="00A046F2" w:rsidRPr="00E3030F" w:rsidRDefault="00A046F2" w:rsidP="00A046F2">
      <w:pPr>
        <w:spacing w:after="120" w:line="360" w:lineRule="auto"/>
        <w:jc w:val="both"/>
        <w:rPr>
          <w:sz w:val="20"/>
          <w:szCs w:val="20"/>
        </w:rPr>
      </w:pPr>
    </w:p>
    <w:p w14:paraId="46D7569D" w14:textId="77777777" w:rsidR="00A046F2" w:rsidRPr="00E3030F" w:rsidRDefault="00A046F2" w:rsidP="00A046F2">
      <w:pPr>
        <w:spacing w:line="360" w:lineRule="auto"/>
        <w:jc w:val="both"/>
        <w:rPr>
          <w:sz w:val="20"/>
          <w:szCs w:val="20"/>
        </w:rPr>
      </w:pPr>
    </w:p>
    <w:p w14:paraId="4E22A89D" w14:textId="36A04784" w:rsidR="00A046F2" w:rsidRPr="00E3030F" w:rsidRDefault="00A046F2" w:rsidP="00A046F2">
      <w:pPr>
        <w:spacing w:line="360" w:lineRule="auto"/>
        <w:jc w:val="both"/>
        <w:rPr>
          <w:sz w:val="20"/>
          <w:szCs w:val="20"/>
        </w:rPr>
      </w:pPr>
      <w:r w:rsidRPr="00E3030F">
        <w:rPr>
          <w:sz w:val="20"/>
          <w:szCs w:val="20"/>
        </w:rPr>
        <w:t>w związku z trwającymi konsultacjami publicznymi projektu ustawy z dnia 27 czerwca 2022 roku o zmianie ustawy o podatku dochodowym od osób prawnych, podatku dochodowym od osób fizycznych oraz niektórych innych ustaw</w:t>
      </w:r>
      <w:r>
        <w:rPr>
          <w:sz w:val="20"/>
          <w:szCs w:val="20"/>
        </w:rPr>
        <w:t xml:space="preserve"> BCC przedstawił uwagi </w:t>
      </w:r>
      <w:r w:rsidRPr="00E3030F">
        <w:rPr>
          <w:b/>
          <w:bCs/>
          <w:sz w:val="20"/>
          <w:szCs w:val="20"/>
        </w:rPr>
        <w:t>w zakresie podatku dochodowego od osób prawnych</w:t>
      </w:r>
      <w:r w:rsidRPr="00E3030F">
        <w:rPr>
          <w:sz w:val="20"/>
          <w:szCs w:val="20"/>
        </w:rPr>
        <w:t>, a także postulaty w zakresie dalszych zmian w tym obszarze.</w:t>
      </w:r>
    </w:p>
    <w:p w14:paraId="22AB783D" w14:textId="77777777" w:rsidR="00A046F2" w:rsidRPr="00E3030F" w:rsidRDefault="00A046F2" w:rsidP="00A046F2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7307089" w14:textId="77777777" w:rsidR="00A046F2" w:rsidRPr="00E3030F" w:rsidRDefault="00A046F2" w:rsidP="00A046F2">
      <w:pPr>
        <w:pStyle w:val="Akapitzlist"/>
        <w:numPr>
          <w:ilvl w:val="0"/>
          <w:numId w:val="3"/>
        </w:numPr>
        <w:spacing w:line="360" w:lineRule="auto"/>
        <w:ind w:left="0" w:hanging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3030F">
        <w:rPr>
          <w:rFonts w:ascii="Arial" w:hAnsi="Arial" w:cs="Arial"/>
          <w:b/>
          <w:bCs/>
          <w:sz w:val="20"/>
          <w:szCs w:val="20"/>
          <w:u w:val="single"/>
        </w:rPr>
        <w:t>Minimalny podatek dochodowy</w:t>
      </w:r>
    </w:p>
    <w:p w14:paraId="085A1057" w14:textId="77777777" w:rsidR="00A046F2" w:rsidRPr="00E3030F" w:rsidRDefault="00A046F2" w:rsidP="00A046F2">
      <w:pPr>
        <w:pStyle w:val="xmsolistparagraph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bookmarkStart w:id="1" w:name="_Hlk107502899"/>
      <w:r w:rsidRPr="00E3030F">
        <w:rPr>
          <w:rFonts w:ascii="Arial" w:eastAsia="Times New Roman" w:hAnsi="Arial" w:cs="Arial"/>
          <w:sz w:val="20"/>
          <w:szCs w:val="20"/>
        </w:rPr>
        <w:t>BCC pozytywnie ocenia zwolnienie podatników z obowiązku zapłaty minimalnego podatku dochodowego w roku 2022 r.</w:t>
      </w:r>
    </w:p>
    <w:p w14:paraId="0231818C" w14:textId="77777777" w:rsidR="00A046F2" w:rsidRPr="00E3030F" w:rsidRDefault="00A046F2" w:rsidP="00A046F2">
      <w:pPr>
        <w:pStyle w:val="xmsolistparagraph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14:paraId="40438438" w14:textId="77777777" w:rsidR="00A046F2" w:rsidRPr="00E3030F" w:rsidRDefault="00A046F2" w:rsidP="00A046F2">
      <w:pPr>
        <w:pStyle w:val="xmsolistparagraph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E3030F">
        <w:rPr>
          <w:rFonts w:ascii="Arial" w:eastAsia="Times New Roman" w:hAnsi="Arial" w:cs="Arial"/>
          <w:sz w:val="20"/>
          <w:szCs w:val="20"/>
        </w:rPr>
        <w:t>Jednocześnie, fakt utrzymania minimalnego podatku dochodowego od 2023 r., w szczególności w kontekście prac prowadzonych na poziomie Unii Europejskiej dotycząc</w:t>
      </w:r>
      <w:r>
        <w:rPr>
          <w:rFonts w:ascii="Arial" w:eastAsia="Times New Roman" w:hAnsi="Arial" w:cs="Arial"/>
          <w:sz w:val="20"/>
          <w:szCs w:val="20"/>
        </w:rPr>
        <w:t>ych</w:t>
      </w:r>
      <w:r w:rsidRPr="00E3030F">
        <w:rPr>
          <w:rFonts w:ascii="Arial" w:eastAsia="Times New Roman" w:hAnsi="Arial" w:cs="Arial"/>
          <w:sz w:val="20"/>
          <w:szCs w:val="20"/>
        </w:rPr>
        <w:t xml:space="preserve"> tzw. globalnego minimalnego podatku dochodowego (w ramach tzw. Filaru II) budzi zaniepokojenie. Utrzymanie minimalnego podatku dochodowego w trudnej sytuacji ekonomicznej, gdy wielu przedsiębiorców boryka się z rosnącymi cenami surowców i niepewnością wynikającą chociażby z kolejnymi falami pandemii oraz działaniami wojennymi</w:t>
      </w:r>
      <w:r>
        <w:rPr>
          <w:rFonts w:ascii="Arial" w:eastAsia="Times New Roman" w:hAnsi="Arial" w:cs="Arial"/>
          <w:sz w:val="20"/>
          <w:szCs w:val="20"/>
        </w:rPr>
        <w:t xml:space="preserve"> w Ukrainie</w:t>
      </w:r>
      <w:r w:rsidRPr="00E3030F">
        <w:rPr>
          <w:rFonts w:ascii="Arial" w:eastAsia="Times New Roman" w:hAnsi="Arial" w:cs="Arial"/>
          <w:sz w:val="20"/>
          <w:szCs w:val="20"/>
        </w:rPr>
        <w:t xml:space="preserve"> nie służy wsparciu firm. W tym kontekście warto zauważyć, że część zmian zaproponowanych w ramach modelu opodatkowania, który ma zacząć obowiązywać od 2023 r. również budzi wątpliwości jako zdecydowanie niekorzystne dla podatników. Stąd też, </w:t>
      </w:r>
      <w:r w:rsidRPr="00E3030F">
        <w:rPr>
          <w:rFonts w:ascii="Arial" w:eastAsia="Times New Roman" w:hAnsi="Arial" w:cs="Arial"/>
          <w:b/>
          <w:bCs/>
          <w:sz w:val="20"/>
          <w:szCs w:val="20"/>
          <w:u w:val="single"/>
        </w:rPr>
        <w:t>podstawowym postulatem BCC jest uchylenie przepisów wprowadzających minimalny podatek dochodowy i całkowite odstąpienie od jego wprowadzania w przyszłości</w:t>
      </w:r>
      <w:r w:rsidRPr="00E3030F">
        <w:rPr>
          <w:rFonts w:ascii="Arial" w:eastAsia="Times New Roman" w:hAnsi="Arial" w:cs="Arial"/>
          <w:sz w:val="20"/>
          <w:szCs w:val="20"/>
        </w:rPr>
        <w:t>.</w:t>
      </w:r>
    </w:p>
    <w:p w14:paraId="79342033" w14:textId="77777777" w:rsidR="00A046F2" w:rsidRPr="00E3030F" w:rsidRDefault="00A046F2" w:rsidP="00A046F2">
      <w:pPr>
        <w:pStyle w:val="xmsolistparagraph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14:paraId="5FC43CC9" w14:textId="77777777" w:rsidR="00A046F2" w:rsidRPr="00933C72" w:rsidRDefault="00A046F2" w:rsidP="00A046F2">
      <w:pPr>
        <w:pStyle w:val="xmsolistparagraph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33C72">
        <w:rPr>
          <w:rFonts w:ascii="Arial" w:eastAsia="Times New Roman" w:hAnsi="Arial" w:cs="Arial"/>
          <w:sz w:val="20"/>
          <w:szCs w:val="20"/>
        </w:rPr>
        <w:t>Podniesienie wskaźnika dochodowości, do którego podatnik podlega minimalnemu podatkowi dochodowemu z 1% do 2%</w:t>
      </w:r>
    </w:p>
    <w:p w14:paraId="065CD965" w14:textId="77777777" w:rsidR="00A046F2" w:rsidRPr="00E3030F" w:rsidRDefault="00A046F2" w:rsidP="00A046F2">
      <w:pPr>
        <w:pStyle w:val="xmsolistparagraph"/>
        <w:spacing w:line="36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330C9A29" w14:textId="77777777" w:rsidR="00A046F2" w:rsidRPr="00E3030F" w:rsidRDefault="00A046F2" w:rsidP="00A046F2">
      <w:pPr>
        <w:pStyle w:val="xmsolistparagraph"/>
        <w:spacing w:line="36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E3030F">
        <w:rPr>
          <w:rFonts w:ascii="Arial" w:eastAsia="Times New Roman" w:hAnsi="Arial" w:cs="Arial"/>
          <w:b/>
          <w:bCs/>
          <w:sz w:val="20"/>
          <w:szCs w:val="20"/>
        </w:rPr>
        <w:t xml:space="preserve">W ocenie BCC </w:t>
      </w:r>
      <w:r w:rsidRPr="00933C72">
        <w:rPr>
          <w:rFonts w:ascii="Arial" w:eastAsia="Times New Roman" w:hAnsi="Arial" w:cs="Arial"/>
          <w:b/>
          <w:bCs/>
          <w:sz w:val="20"/>
          <w:szCs w:val="20"/>
        </w:rPr>
        <w:t>zmiana spowoduje objęcie minimalnym podatkiem istotnie szer</w:t>
      </w:r>
      <w:r w:rsidRPr="00E3030F">
        <w:rPr>
          <w:rFonts w:ascii="Arial" w:eastAsia="Times New Roman" w:hAnsi="Arial" w:cs="Arial"/>
          <w:b/>
          <w:bCs/>
          <w:sz w:val="20"/>
          <w:szCs w:val="20"/>
        </w:rPr>
        <w:t>szej grupy podatników</w:t>
      </w:r>
      <w:r w:rsidRPr="00E3030F">
        <w:rPr>
          <w:rFonts w:ascii="Arial" w:eastAsia="Times New Roman" w:hAnsi="Arial" w:cs="Arial"/>
          <w:sz w:val="20"/>
          <w:szCs w:val="20"/>
        </w:rPr>
        <w:t xml:space="preserve">. Już obowiązujący obecnie 1% próg dochodowości w niektórych branżach jest trudny </w:t>
      </w:r>
      <w:r w:rsidRPr="00E3030F">
        <w:rPr>
          <w:rFonts w:ascii="Arial" w:eastAsia="Times New Roman" w:hAnsi="Arial" w:cs="Arial"/>
          <w:sz w:val="20"/>
          <w:szCs w:val="20"/>
        </w:rPr>
        <w:lastRenderedPageBreak/>
        <w:t>do osiągnięcia z uwagi na uwarunkowania rynkowe, a nie z powodu jakichkolwiek działań optymalizacyjnych. Proponowana w Projekcie zmiana przepisów prowadzi do efektu wprost sprzecznego z postulatami zgłaszanymi przez przedsiębiorców.</w:t>
      </w:r>
    </w:p>
    <w:p w14:paraId="0582DFA7" w14:textId="77777777" w:rsidR="00A046F2" w:rsidRPr="00E3030F" w:rsidRDefault="00A046F2" w:rsidP="00A046F2">
      <w:pPr>
        <w:pStyle w:val="xmsolistparagraph"/>
        <w:spacing w:line="36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08CACB75" w14:textId="77777777" w:rsidR="00A046F2" w:rsidRPr="00E3030F" w:rsidRDefault="00A046F2" w:rsidP="00A046F2">
      <w:pPr>
        <w:pStyle w:val="xmsolistparagraph"/>
        <w:spacing w:line="36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E3030F">
        <w:rPr>
          <w:rFonts w:ascii="Arial" w:eastAsia="Times New Roman" w:hAnsi="Arial" w:cs="Arial"/>
          <w:sz w:val="20"/>
          <w:szCs w:val="20"/>
        </w:rPr>
        <w:t xml:space="preserve">Jednocześnie, rozszerzenie katalogu podmiotów zwolnionych z podatku minimalnego uchroni tylko niewielką część podatników przed negatywnymi skutkami proponowanej zmiany. BCC zdecydowanie postuluje </w:t>
      </w:r>
      <w:r w:rsidRPr="00E3030F">
        <w:rPr>
          <w:rFonts w:ascii="Arial" w:eastAsia="Times New Roman" w:hAnsi="Arial" w:cs="Arial"/>
          <w:b/>
          <w:bCs/>
          <w:sz w:val="20"/>
          <w:szCs w:val="20"/>
        </w:rPr>
        <w:t>odstąpienie od projektowanej zmiany</w:t>
      </w:r>
      <w:r w:rsidRPr="00E3030F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66EC0D69" w14:textId="77777777" w:rsidR="00A046F2" w:rsidRPr="00E3030F" w:rsidRDefault="00A046F2" w:rsidP="00A046F2">
      <w:pPr>
        <w:pStyle w:val="xmsolistparagraph"/>
        <w:spacing w:line="36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08CB610C" w14:textId="77777777" w:rsidR="00A046F2" w:rsidRPr="00E3030F" w:rsidRDefault="00A046F2" w:rsidP="00A046F2">
      <w:pPr>
        <w:pStyle w:val="xmsolistparagraph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3030F">
        <w:rPr>
          <w:rFonts w:ascii="Arial" w:eastAsia="Times New Roman" w:hAnsi="Arial" w:cs="Arial"/>
          <w:sz w:val="20"/>
          <w:szCs w:val="20"/>
        </w:rPr>
        <w:t>rozszerzenie katalogu kosztów oraz przychodów, które mogą zostać wyłączone przy obliczaniu wskaźnika dochodowości o wzrost kosztów zatrudnienia</w:t>
      </w:r>
    </w:p>
    <w:p w14:paraId="7D56AC0C" w14:textId="77777777" w:rsidR="00A046F2" w:rsidRPr="00E3030F" w:rsidRDefault="00A046F2" w:rsidP="00A046F2">
      <w:pPr>
        <w:pStyle w:val="xmsolistparagraph"/>
        <w:spacing w:line="36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01134C63" w14:textId="77777777" w:rsidR="00A046F2" w:rsidRPr="00E3030F" w:rsidRDefault="00A046F2" w:rsidP="00A046F2">
      <w:pPr>
        <w:pStyle w:val="xmsolistparagraph"/>
        <w:spacing w:line="36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E3030F">
        <w:rPr>
          <w:rFonts w:ascii="Arial" w:eastAsia="Times New Roman" w:hAnsi="Arial" w:cs="Arial"/>
          <w:sz w:val="20"/>
          <w:szCs w:val="20"/>
        </w:rPr>
        <w:t xml:space="preserve">W ocenie BCC zasadne jest </w:t>
      </w:r>
      <w:r w:rsidRPr="00E3030F">
        <w:rPr>
          <w:rFonts w:ascii="Arial" w:eastAsia="Times New Roman" w:hAnsi="Arial" w:cs="Arial"/>
          <w:b/>
          <w:bCs/>
          <w:sz w:val="20"/>
          <w:szCs w:val="20"/>
          <w:u w:val="single"/>
        </w:rPr>
        <w:t>wyłączenie całości kosztów zatrudnienia</w:t>
      </w:r>
      <w:r w:rsidRPr="00E3030F">
        <w:rPr>
          <w:rFonts w:ascii="Arial" w:eastAsia="Times New Roman" w:hAnsi="Arial" w:cs="Arial"/>
          <w:sz w:val="20"/>
          <w:szCs w:val="20"/>
        </w:rPr>
        <w:t xml:space="preserve">, ponieważ, podobnie jak w przypadku kosztów związanych z nabyciem lub wytworzeniem środków trwałych nie mogą one być postrzegane jako koszty jakkolwiek służące optymalizacji podatkowej, czy też niezwiązane z prowadzoną działalnością gospodarczą. W konsekwencji, chociaż kierunek zmiany odpowiada postulatom zgłaszanym wcześniej, to jest ona niewystarczająca w obecnych realiach. </w:t>
      </w:r>
    </w:p>
    <w:p w14:paraId="5C66278A" w14:textId="77777777" w:rsidR="00A046F2" w:rsidRPr="00E3030F" w:rsidRDefault="00A046F2" w:rsidP="00A046F2">
      <w:pPr>
        <w:pStyle w:val="xmsolistparagraph"/>
        <w:spacing w:line="36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5607AE1A" w14:textId="77777777" w:rsidR="00A046F2" w:rsidRPr="00E3030F" w:rsidRDefault="00A046F2" w:rsidP="00A046F2">
      <w:pPr>
        <w:pStyle w:val="xmsolistparagraph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3030F">
        <w:rPr>
          <w:rFonts w:ascii="Arial" w:eastAsia="Times New Roman" w:hAnsi="Arial" w:cs="Arial"/>
          <w:sz w:val="20"/>
          <w:szCs w:val="20"/>
        </w:rPr>
        <w:t>rozszerzenie katalogu kosztów oraz przychodów, które mogą zostać wyłączone przy obliczaniu wskaźnika dochodowości o przychody oraz koszty uzyskania przychodów odpowiadające wysokości podatku akcyzowego</w:t>
      </w:r>
    </w:p>
    <w:p w14:paraId="7FAEFFFF" w14:textId="77777777" w:rsidR="00A046F2" w:rsidRPr="00E3030F" w:rsidRDefault="00A046F2" w:rsidP="00A046F2">
      <w:pPr>
        <w:pStyle w:val="xmsolistparagraph"/>
        <w:spacing w:line="36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779FD0B2" w14:textId="77777777" w:rsidR="00A046F2" w:rsidRPr="00E3030F" w:rsidRDefault="00A046F2" w:rsidP="00A046F2">
      <w:pPr>
        <w:pStyle w:val="xmsolistparagraph"/>
        <w:spacing w:line="36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E3030F">
        <w:rPr>
          <w:rFonts w:ascii="Arial" w:eastAsia="Times New Roman" w:hAnsi="Arial" w:cs="Arial"/>
          <w:sz w:val="20"/>
          <w:szCs w:val="20"/>
        </w:rPr>
        <w:t xml:space="preserve">BCC wskazuje, że zgłaszane wcześniej postulaty przedsiębiorców dotyczyły wyłączenia podatku akcyzowego z </w:t>
      </w:r>
      <w:r w:rsidRPr="00E3030F">
        <w:rPr>
          <w:rFonts w:ascii="Arial" w:eastAsia="Times New Roman" w:hAnsi="Arial" w:cs="Arial"/>
          <w:sz w:val="20"/>
          <w:szCs w:val="20"/>
          <w:u w:val="single"/>
        </w:rPr>
        <w:t>przychodów stanowiących element podstawy opodatkowania</w:t>
      </w:r>
      <w:r w:rsidRPr="00E3030F">
        <w:rPr>
          <w:rFonts w:ascii="Arial" w:eastAsia="Times New Roman" w:hAnsi="Arial" w:cs="Arial"/>
          <w:sz w:val="20"/>
          <w:szCs w:val="20"/>
        </w:rPr>
        <w:t xml:space="preserve">, a </w:t>
      </w:r>
      <w:r w:rsidRPr="00E3030F">
        <w:rPr>
          <w:rFonts w:ascii="Arial" w:eastAsia="Times New Roman" w:hAnsi="Arial" w:cs="Arial"/>
          <w:sz w:val="20"/>
          <w:szCs w:val="20"/>
          <w:u w:val="single"/>
        </w:rPr>
        <w:t>nie z kalkulacji wskaźnika dochodowości</w:t>
      </w:r>
      <w:r w:rsidRPr="00E3030F">
        <w:rPr>
          <w:rFonts w:ascii="Arial" w:eastAsia="Times New Roman" w:hAnsi="Arial" w:cs="Arial"/>
          <w:sz w:val="20"/>
          <w:szCs w:val="20"/>
        </w:rPr>
        <w:t xml:space="preserve">. Aktualne brzmienie Projektu nie tylko nie rozwiązuje zgłoszonego wcześniej problemu, lecz w niektórych przypadkach może również doprowadzić do pogorszenia sytuacji podatników podatku akcyzowego w kontekście podatku minimalnego. Spełnienie postulatów przedsiębiorców w tym zakresie, jak można wnioskować z uzasadnienia do Projektu, było intencją ustawodawcy, niemniej jednak wymagałoby to </w:t>
      </w:r>
      <w:r w:rsidRPr="00E3030F">
        <w:rPr>
          <w:rFonts w:ascii="Arial" w:eastAsia="Times New Roman" w:hAnsi="Arial" w:cs="Arial"/>
          <w:b/>
          <w:bCs/>
          <w:sz w:val="20"/>
          <w:szCs w:val="20"/>
          <w:u w:val="single"/>
        </w:rPr>
        <w:t>wyłączenia w podstawie opodatkowania przychodów w części dotyczącej podatku akcyzowego</w:t>
      </w:r>
      <w:r w:rsidRPr="00E3030F">
        <w:rPr>
          <w:rFonts w:ascii="Arial" w:eastAsia="Times New Roman" w:hAnsi="Arial" w:cs="Arial"/>
          <w:sz w:val="20"/>
          <w:szCs w:val="20"/>
        </w:rPr>
        <w:t>.</w:t>
      </w:r>
    </w:p>
    <w:p w14:paraId="49162EA1" w14:textId="77777777" w:rsidR="00A046F2" w:rsidRPr="00E3030F" w:rsidRDefault="00A046F2" w:rsidP="00A046F2">
      <w:pPr>
        <w:pStyle w:val="xmsolistparagraph"/>
        <w:spacing w:line="36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7307BAF7" w14:textId="77777777" w:rsidR="00A046F2" w:rsidRPr="00E3030F" w:rsidRDefault="00A046F2" w:rsidP="00A046F2">
      <w:pPr>
        <w:pStyle w:val="xmsolistparagraph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3030F">
        <w:rPr>
          <w:rFonts w:ascii="Arial" w:eastAsia="Times New Roman" w:hAnsi="Arial" w:cs="Arial"/>
          <w:sz w:val="20"/>
          <w:szCs w:val="20"/>
        </w:rPr>
        <w:t>Zmiany w podstawie opodatkowania w części odnoszącej się do kosztów finansowania dłużnego</w:t>
      </w:r>
    </w:p>
    <w:p w14:paraId="0A9C85D4" w14:textId="77777777" w:rsidR="00A046F2" w:rsidRPr="00E3030F" w:rsidRDefault="00A046F2" w:rsidP="00A046F2">
      <w:pPr>
        <w:pStyle w:val="xmsolistparagraph"/>
        <w:spacing w:line="36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31C6BF4D" w14:textId="77777777" w:rsidR="00A046F2" w:rsidRPr="00E3030F" w:rsidRDefault="00A046F2" w:rsidP="00A046F2">
      <w:pPr>
        <w:pStyle w:val="xmsolistparagraph"/>
        <w:spacing w:line="36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E3030F">
        <w:rPr>
          <w:rFonts w:ascii="Arial" w:eastAsia="Times New Roman" w:hAnsi="Arial" w:cs="Arial"/>
          <w:sz w:val="20"/>
          <w:szCs w:val="20"/>
        </w:rPr>
        <w:t xml:space="preserve">W ocenie BCC, obniżenie limitu, powyżej którego koszty </w:t>
      </w:r>
      <w:r>
        <w:rPr>
          <w:rFonts w:ascii="Arial" w:eastAsia="Times New Roman" w:hAnsi="Arial" w:cs="Arial"/>
          <w:sz w:val="20"/>
          <w:szCs w:val="20"/>
        </w:rPr>
        <w:t xml:space="preserve">finansowania dłużnego </w:t>
      </w:r>
      <w:r w:rsidRPr="00E3030F">
        <w:rPr>
          <w:rFonts w:ascii="Arial" w:eastAsia="Times New Roman" w:hAnsi="Arial" w:cs="Arial"/>
          <w:sz w:val="20"/>
          <w:szCs w:val="20"/>
        </w:rPr>
        <w:t xml:space="preserve">stają się podstawą opodatkowania podatkiem minimalnym z 30% do 15% EBITDA jest zmianą oczywiście niekorzystną, nieuzasadnioną i prowadzi do niespójności z regulacją z art. 15c ustawy o CIT, zgodnie z którą podatnik ma prawo zaliczyć do kosztów uzyskania przychodów nadwyżkę kosztów finansowania dłużnego w kwocie do 30% EBITDA (lub 3 mln zł), niezależnie od tego, czy chodzi o finansowanie od podmiotów powiązanych, czy niepowiązanych – a więc także w przypadku, gdy całość finansowania pochodzi od podmiotu powiązanego. Nielogicznym wydaje się więc jednoczesne uznanie, że koszty finansowania dłużnego w części przekraczającej 15% (a nie 30%) </w:t>
      </w:r>
      <w:r w:rsidRPr="00E3030F">
        <w:rPr>
          <w:rFonts w:ascii="Arial" w:eastAsia="Times New Roman" w:hAnsi="Arial" w:cs="Arial"/>
          <w:sz w:val="20"/>
          <w:szCs w:val="20"/>
        </w:rPr>
        <w:lastRenderedPageBreak/>
        <w:t xml:space="preserve">EBITDA należy uznać za koszty nadmiarowe (w szczególności w okolicznościach, gdy stopy procentowe są drastycznie podnoszone). BCC postuluje </w:t>
      </w:r>
      <w:r w:rsidRPr="00E3030F">
        <w:rPr>
          <w:rFonts w:ascii="Arial" w:eastAsia="Times New Roman" w:hAnsi="Arial" w:cs="Arial"/>
          <w:b/>
          <w:bCs/>
          <w:sz w:val="20"/>
          <w:szCs w:val="20"/>
        </w:rPr>
        <w:t>odstąpienie od proponowanej zmiany</w:t>
      </w:r>
      <w:r w:rsidRPr="00E3030F">
        <w:rPr>
          <w:rFonts w:ascii="Arial" w:eastAsia="Times New Roman" w:hAnsi="Arial" w:cs="Arial"/>
          <w:sz w:val="20"/>
          <w:szCs w:val="20"/>
        </w:rPr>
        <w:t>.</w:t>
      </w:r>
    </w:p>
    <w:p w14:paraId="30A5CA09" w14:textId="77777777" w:rsidR="00A046F2" w:rsidRPr="00E3030F" w:rsidRDefault="00A046F2" w:rsidP="00A046F2">
      <w:pPr>
        <w:pStyle w:val="xmsolistparagraph"/>
        <w:spacing w:line="36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634485AC" w14:textId="77777777" w:rsidR="00A046F2" w:rsidRPr="00E3030F" w:rsidRDefault="00A046F2" w:rsidP="00A046F2">
      <w:pPr>
        <w:pStyle w:val="xmsolistparagraph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3030F">
        <w:rPr>
          <w:rFonts w:ascii="Arial" w:eastAsia="Times New Roman" w:hAnsi="Arial" w:cs="Arial"/>
          <w:sz w:val="20"/>
          <w:szCs w:val="20"/>
        </w:rPr>
        <w:t>Zmiany w podstawie opodatkowania w części odnoszącej się do kosztów usług niematerialnych i opłat licencyjnych</w:t>
      </w:r>
    </w:p>
    <w:p w14:paraId="56C8FF7C" w14:textId="77777777" w:rsidR="00A046F2" w:rsidRPr="00E3030F" w:rsidRDefault="00A046F2" w:rsidP="00A046F2">
      <w:pPr>
        <w:pStyle w:val="xmsolistparagraph"/>
        <w:spacing w:line="36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77FE1661" w14:textId="77777777" w:rsidR="00A046F2" w:rsidRPr="00E3030F" w:rsidRDefault="00A046F2" w:rsidP="00A046F2">
      <w:pPr>
        <w:pStyle w:val="xmsolistparagraph"/>
        <w:spacing w:line="36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E3030F">
        <w:rPr>
          <w:rFonts w:ascii="Arial" w:eastAsia="Times New Roman" w:hAnsi="Arial" w:cs="Arial"/>
          <w:sz w:val="20"/>
          <w:szCs w:val="20"/>
        </w:rPr>
        <w:t xml:space="preserve">Obniżenie o 3 miliony zł </w:t>
      </w:r>
      <w:proofErr w:type="gramStart"/>
      <w:r w:rsidRPr="00E3030F">
        <w:rPr>
          <w:rFonts w:ascii="Arial" w:eastAsia="Times New Roman" w:hAnsi="Arial" w:cs="Arial"/>
          <w:sz w:val="20"/>
          <w:szCs w:val="20"/>
        </w:rPr>
        <w:t>limitu</w:t>
      </w:r>
      <w:proofErr w:type="gramEnd"/>
      <w:r w:rsidRPr="00E3030F">
        <w:rPr>
          <w:rFonts w:ascii="Arial" w:eastAsia="Times New Roman" w:hAnsi="Arial" w:cs="Arial"/>
          <w:sz w:val="20"/>
          <w:szCs w:val="20"/>
        </w:rPr>
        <w:t xml:space="preserve"> powyżej którego koszty te stają się podstawą opodatkowania podatkiem minimalnym jest również zmianą na niekorzyść. Podobnie jak w przypadku limitu kosztów finansowania dłużnego, zmiana jest nieuzasadniona. Proponowany w projekcie limit dla bardzo wielu przedsiębiorców jest niewystarczający z perspektywy potrzeby zapewnienia niezbędnych usług grupowych czy też licencji np. związanych z procesem produkcyjnym. Propozycja rażąco ogranicza swobodę prowadzenia działalności gospodarczej</w:t>
      </w:r>
      <w:r>
        <w:rPr>
          <w:rFonts w:ascii="Arial" w:eastAsia="Times New Roman" w:hAnsi="Arial" w:cs="Arial"/>
          <w:sz w:val="20"/>
          <w:szCs w:val="20"/>
        </w:rPr>
        <w:t xml:space="preserve"> w zakresie nabywania niezbędnych usług i praw</w:t>
      </w:r>
      <w:r w:rsidRPr="00E3030F">
        <w:rPr>
          <w:rFonts w:ascii="Arial" w:eastAsia="Times New Roman" w:hAnsi="Arial" w:cs="Arial"/>
          <w:sz w:val="20"/>
          <w:szCs w:val="20"/>
        </w:rPr>
        <w:t xml:space="preserve">. BCC postuluje </w:t>
      </w:r>
      <w:r w:rsidRPr="00E3030F">
        <w:rPr>
          <w:rFonts w:ascii="Arial" w:eastAsia="Times New Roman" w:hAnsi="Arial" w:cs="Arial"/>
          <w:b/>
          <w:bCs/>
          <w:sz w:val="20"/>
          <w:szCs w:val="20"/>
        </w:rPr>
        <w:t>odstąpienie od proponowanej zmiany</w:t>
      </w:r>
      <w:r w:rsidRPr="00E3030F">
        <w:rPr>
          <w:rFonts w:ascii="Arial" w:eastAsia="Times New Roman" w:hAnsi="Arial" w:cs="Arial"/>
          <w:sz w:val="20"/>
          <w:szCs w:val="20"/>
        </w:rPr>
        <w:t>.</w:t>
      </w:r>
    </w:p>
    <w:p w14:paraId="69AD7B60" w14:textId="77777777" w:rsidR="00A046F2" w:rsidRPr="00E3030F" w:rsidRDefault="00A046F2" w:rsidP="00A046F2">
      <w:pPr>
        <w:pStyle w:val="xmsolistparagraph"/>
        <w:spacing w:line="36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3F6300B2" w14:textId="77777777" w:rsidR="00A046F2" w:rsidRPr="00E3030F" w:rsidRDefault="00A046F2" w:rsidP="00A046F2">
      <w:pPr>
        <w:pStyle w:val="xmsolistparagraph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3030F">
        <w:rPr>
          <w:rFonts w:ascii="Arial" w:eastAsia="Times New Roman" w:hAnsi="Arial" w:cs="Arial"/>
          <w:sz w:val="20"/>
          <w:szCs w:val="20"/>
        </w:rPr>
        <w:t>Dodatkowe kwestie wymagające interwencji legislacyjnej w przypadku braku uchylenia przepisów</w:t>
      </w:r>
      <w:r>
        <w:rPr>
          <w:rFonts w:ascii="Arial" w:eastAsia="Times New Roman" w:hAnsi="Arial" w:cs="Arial"/>
          <w:sz w:val="20"/>
          <w:szCs w:val="20"/>
        </w:rPr>
        <w:t>:</w:t>
      </w:r>
    </w:p>
    <w:p w14:paraId="541E78F1" w14:textId="77777777" w:rsidR="00A046F2" w:rsidRPr="00E3030F" w:rsidRDefault="00A046F2" w:rsidP="00A046F2">
      <w:pPr>
        <w:pStyle w:val="xmsolistparagraph"/>
        <w:numPr>
          <w:ilvl w:val="3"/>
          <w:numId w:val="4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3030F">
        <w:rPr>
          <w:rFonts w:ascii="Arial" w:eastAsia="Times New Roman" w:hAnsi="Arial" w:cs="Arial"/>
          <w:sz w:val="20"/>
          <w:szCs w:val="20"/>
        </w:rPr>
        <w:t>wyłączenie z podstawy opodatkowania kosztów finansowania dłużnego, usług niematerialnych i należności licencyjnych w przypadku, gdy podatnik posiada uprzednie porozumienie cenowe oraz dla wydatków bezpośrednio związanych z wytworzeniem lub nabyciem przez podatnika towaru lub świadczeniem usług;</w:t>
      </w:r>
      <w:r>
        <w:rPr>
          <w:rFonts w:ascii="Arial" w:eastAsia="Times New Roman" w:hAnsi="Arial" w:cs="Arial"/>
          <w:sz w:val="20"/>
          <w:szCs w:val="20"/>
        </w:rPr>
        <w:t xml:space="preserve"> trudna do akceptacji jest bowiem sytuacja, w której z jednej strony podatnik uzyskuje urzędowe potwierdzenie rynkowości swoich rozliczeń z podmiotem powiązanym w postaci uprzedniego porozumienia cenowego, a z drugiej strony jest zobowiązany zapłacić dodatkowy (sankcyjny) podatek od kosztów poniesionych w ramach takich – rynkowych – rozliczeń; </w:t>
      </w:r>
    </w:p>
    <w:p w14:paraId="30128BF2" w14:textId="77777777" w:rsidR="00A046F2" w:rsidRPr="00E3030F" w:rsidRDefault="00A046F2" w:rsidP="00A046F2">
      <w:pPr>
        <w:pStyle w:val="xmsolistparagraph"/>
        <w:numPr>
          <w:ilvl w:val="3"/>
          <w:numId w:val="4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3030F">
        <w:rPr>
          <w:rFonts w:ascii="Arial" w:eastAsia="Times New Roman" w:hAnsi="Arial" w:cs="Arial"/>
          <w:sz w:val="20"/>
          <w:szCs w:val="20"/>
        </w:rPr>
        <w:t>uwzględnienie podatków sektorowych, w szczególności podatku od sprzedaży detalicznej</w:t>
      </w:r>
      <w:r>
        <w:rPr>
          <w:rFonts w:ascii="Arial" w:eastAsia="Times New Roman" w:hAnsi="Arial" w:cs="Arial"/>
          <w:sz w:val="20"/>
          <w:szCs w:val="20"/>
        </w:rPr>
        <w:t xml:space="preserve"> poprzez odpowiednie wyłączenia</w:t>
      </w:r>
      <w:r w:rsidRPr="00E3030F">
        <w:rPr>
          <w:rFonts w:ascii="Arial" w:eastAsia="Times New Roman" w:hAnsi="Arial" w:cs="Arial"/>
          <w:sz w:val="20"/>
          <w:szCs w:val="20"/>
        </w:rPr>
        <w:t>;</w:t>
      </w:r>
    </w:p>
    <w:p w14:paraId="528F86F3" w14:textId="77777777" w:rsidR="00A046F2" w:rsidRPr="00E3030F" w:rsidRDefault="00A046F2" w:rsidP="00A046F2">
      <w:pPr>
        <w:pStyle w:val="xmsolistparagraph"/>
        <w:numPr>
          <w:ilvl w:val="3"/>
          <w:numId w:val="4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3030F">
        <w:rPr>
          <w:rFonts w:ascii="Arial" w:eastAsia="Times New Roman" w:hAnsi="Arial" w:cs="Arial"/>
          <w:sz w:val="20"/>
          <w:szCs w:val="20"/>
        </w:rPr>
        <w:t xml:space="preserve">uwzględnienia sytuacji podatników nabywających na potrzeby działalności gospodarczej wartości niematerialne i prawne – np. technologie; </w:t>
      </w:r>
      <w:r>
        <w:rPr>
          <w:rFonts w:ascii="Arial" w:eastAsia="Times New Roman" w:hAnsi="Arial" w:cs="Arial"/>
          <w:sz w:val="20"/>
          <w:szCs w:val="20"/>
        </w:rPr>
        <w:t xml:space="preserve">aktualne brzmienie przepisów, jak również </w:t>
      </w:r>
      <w:r w:rsidRPr="00E3030F">
        <w:rPr>
          <w:rFonts w:ascii="Arial" w:eastAsia="Times New Roman" w:hAnsi="Arial" w:cs="Arial"/>
          <w:sz w:val="20"/>
          <w:szCs w:val="20"/>
        </w:rPr>
        <w:t>Projekt nie przewiduje możliwości odliczenia takich wydatków w kalkulacji dochodowości</w:t>
      </w:r>
      <w:r>
        <w:rPr>
          <w:rFonts w:ascii="Arial" w:eastAsia="Times New Roman" w:hAnsi="Arial" w:cs="Arial"/>
          <w:sz w:val="20"/>
          <w:szCs w:val="20"/>
        </w:rPr>
        <w:t xml:space="preserve"> (inaczej niż w przypadków środków trwałych)</w:t>
      </w:r>
      <w:r w:rsidRPr="00E3030F">
        <w:rPr>
          <w:rFonts w:ascii="Arial" w:eastAsia="Times New Roman" w:hAnsi="Arial" w:cs="Arial"/>
          <w:sz w:val="20"/>
          <w:szCs w:val="20"/>
        </w:rPr>
        <w:t>.</w:t>
      </w:r>
    </w:p>
    <w:p w14:paraId="6738EF6B" w14:textId="77777777" w:rsidR="00A046F2" w:rsidRPr="00E3030F" w:rsidRDefault="00A046F2" w:rsidP="00A046F2">
      <w:pPr>
        <w:pStyle w:val="xmsolistparagraph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14:paraId="0E45BF3B" w14:textId="77777777" w:rsidR="00A046F2" w:rsidRPr="00E3030F" w:rsidRDefault="00A046F2" w:rsidP="00A046F2">
      <w:pPr>
        <w:pStyle w:val="xmsolistparagraph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14:paraId="24C5E85E" w14:textId="77777777" w:rsidR="00A046F2" w:rsidRPr="00E3030F" w:rsidRDefault="00A046F2" w:rsidP="00A046F2">
      <w:pPr>
        <w:pStyle w:val="Akapitzlist"/>
        <w:numPr>
          <w:ilvl w:val="0"/>
          <w:numId w:val="3"/>
        </w:numPr>
        <w:spacing w:line="360" w:lineRule="auto"/>
        <w:ind w:left="0" w:hanging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3030F">
        <w:rPr>
          <w:rFonts w:ascii="Arial" w:hAnsi="Arial" w:cs="Arial"/>
          <w:b/>
          <w:bCs/>
          <w:sz w:val="20"/>
          <w:szCs w:val="20"/>
          <w:u w:val="single"/>
        </w:rPr>
        <w:t>Podatek u źródła</w:t>
      </w:r>
    </w:p>
    <w:p w14:paraId="57701EE3" w14:textId="77777777" w:rsidR="00A046F2" w:rsidRPr="00E3030F" w:rsidRDefault="00A046F2" w:rsidP="00A046F2">
      <w:pPr>
        <w:spacing w:line="360" w:lineRule="auto"/>
        <w:jc w:val="both"/>
        <w:rPr>
          <w:sz w:val="20"/>
          <w:szCs w:val="20"/>
        </w:rPr>
      </w:pPr>
      <w:r w:rsidRPr="00E3030F">
        <w:rPr>
          <w:sz w:val="20"/>
          <w:szCs w:val="20"/>
        </w:rPr>
        <w:t xml:space="preserve">BCC zwraca uwagę na wątpliwości dotyczące przepisów dotyczących oświadczeń, których złożenie przez polskiego płatnika zryczałtowanego podatku </w:t>
      </w:r>
      <w:proofErr w:type="gramStart"/>
      <w:r w:rsidRPr="00E3030F">
        <w:rPr>
          <w:sz w:val="20"/>
          <w:szCs w:val="20"/>
        </w:rPr>
        <w:t>dochodowego</w:t>
      </w:r>
      <w:proofErr w:type="gramEnd"/>
      <w:r w:rsidRPr="00E3030F">
        <w:rPr>
          <w:sz w:val="20"/>
          <w:szCs w:val="20"/>
        </w:rPr>
        <w:t xml:space="preserve"> czyli tzw. podatku u źródła przewiduje ustawa. Nowelizacja ma </w:t>
      </w:r>
      <w:r>
        <w:rPr>
          <w:sz w:val="20"/>
          <w:szCs w:val="20"/>
        </w:rPr>
        <w:t xml:space="preserve">co prawda </w:t>
      </w:r>
      <w:r w:rsidRPr="00E3030F">
        <w:rPr>
          <w:sz w:val="20"/>
          <w:szCs w:val="20"/>
        </w:rPr>
        <w:t xml:space="preserve">umożliwić płatnikom korzystanie z tzw. oświadczenia zarządu w </w:t>
      </w:r>
      <w:r w:rsidRPr="00E3030F">
        <w:rPr>
          <w:sz w:val="20"/>
          <w:szCs w:val="20"/>
        </w:rPr>
        <w:lastRenderedPageBreak/>
        <w:t>celu niepobrania podatku według stawki krajowej po przekroczeniu limitu 2 mln zł płatności na rzecz jednego powiązanego kontrahenta przez okres do końca roku podatkowego w sytuacji, gdy płatnik dokonuje na rzecz podatnika dalszych wypłat podlegających tzw. reżimowi zwrotu po przekroczeniu w roku podatkowym kwoty 2 mln złotych wypłat z ww. tytułów.</w:t>
      </w:r>
    </w:p>
    <w:p w14:paraId="035DC1E9" w14:textId="77777777" w:rsidR="00A046F2" w:rsidRPr="00E3030F" w:rsidRDefault="00A046F2" w:rsidP="00A046F2">
      <w:pPr>
        <w:spacing w:line="360" w:lineRule="auto"/>
        <w:jc w:val="both"/>
        <w:rPr>
          <w:i/>
          <w:iCs/>
          <w:sz w:val="20"/>
          <w:szCs w:val="20"/>
        </w:rPr>
      </w:pPr>
      <w:r w:rsidRPr="00E3030F">
        <w:rPr>
          <w:sz w:val="20"/>
          <w:szCs w:val="20"/>
        </w:rPr>
        <w:t xml:space="preserve">W tym zakresie BCC pragnie wyrazić zaniepokojenie faktem, iż </w:t>
      </w:r>
      <w:r>
        <w:rPr>
          <w:sz w:val="20"/>
          <w:szCs w:val="20"/>
        </w:rPr>
        <w:t xml:space="preserve">ww. wskazana nowelizacja </w:t>
      </w:r>
      <w:r w:rsidRPr="00E3030F">
        <w:rPr>
          <w:sz w:val="20"/>
          <w:szCs w:val="20"/>
        </w:rPr>
        <w:t>będ</w:t>
      </w:r>
      <w:r>
        <w:rPr>
          <w:sz w:val="20"/>
          <w:szCs w:val="20"/>
        </w:rPr>
        <w:t>zie</w:t>
      </w:r>
      <w:r w:rsidRPr="00E3030F">
        <w:rPr>
          <w:sz w:val="20"/>
          <w:szCs w:val="20"/>
        </w:rPr>
        <w:t xml:space="preserve"> mieć zastosowanie do wypłat należności dokonywanych </w:t>
      </w:r>
      <w:r w:rsidRPr="00CD431B">
        <w:rPr>
          <w:sz w:val="20"/>
          <w:szCs w:val="20"/>
          <w:u w:val="single"/>
        </w:rPr>
        <w:t>po 31 grudnia 2022 roku</w:t>
      </w:r>
      <w:r w:rsidRPr="00E3030F">
        <w:rPr>
          <w:sz w:val="20"/>
          <w:szCs w:val="20"/>
        </w:rPr>
        <w:t xml:space="preserve">. </w:t>
      </w:r>
      <w:r w:rsidRPr="00E3030F">
        <w:rPr>
          <w:b/>
          <w:bCs/>
          <w:sz w:val="20"/>
          <w:szCs w:val="20"/>
        </w:rPr>
        <w:t xml:space="preserve">Tym samym proponowana nowelizacja nie rozwiązuje problemów dotyczących roku 2022, które pojawiły się w związku z interpretacją przepisów, z którą </w:t>
      </w:r>
      <w:r>
        <w:rPr>
          <w:b/>
          <w:bCs/>
          <w:sz w:val="20"/>
          <w:szCs w:val="20"/>
        </w:rPr>
        <w:t>spotykają</w:t>
      </w:r>
      <w:r w:rsidRPr="00E3030F">
        <w:rPr>
          <w:b/>
          <w:bCs/>
          <w:sz w:val="20"/>
          <w:szCs w:val="20"/>
        </w:rPr>
        <w:t xml:space="preserve"> </w:t>
      </w:r>
      <w:r w:rsidRPr="00CD431B">
        <w:rPr>
          <w:b/>
          <w:bCs/>
          <w:sz w:val="20"/>
          <w:szCs w:val="20"/>
        </w:rPr>
        <w:t xml:space="preserve">się płatnicy w rozmowach z Lubelskim Urzędem </w:t>
      </w:r>
      <w:proofErr w:type="gramStart"/>
      <w:r w:rsidRPr="00CD431B">
        <w:rPr>
          <w:b/>
          <w:bCs/>
          <w:sz w:val="20"/>
          <w:szCs w:val="20"/>
        </w:rPr>
        <w:t>Skarbowym</w:t>
      </w:r>
      <w:proofErr w:type="gramEnd"/>
      <w:r>
        <w:rPr>
          <w:b/>
          <w:bCs/>
          <w:sz w:val="20"/>
          <w:szCs w:val="20"/>
        </w:rPr>
        <w:t xml:space="preserve"> czyli organem właściwym zakresie podatku u źródła</w:t>
      </w:r>
      <w:r w:rsidRPr="00E3030F">
        <w:rPr>
          <w:sz w:val="20"/>
          <w:szCs w:val="20"/>
        </w:rPr>
        <w:t xml:space="preserve">. Urząd ten prezentuje stanowisko, zgodnie z którym na gruncie obowiązujących przepisów w trakcie roku możliwe jest tylko jednorazowe złożenie oświadczenia podstawowego w zakresie danego podatnika/płatności (a tym samym po upływie ważności tego oświadczenia należy pobierać podatek i występować o jego zwrot). </w:t>
      </w:r>
      <w:r>
        <w:rPr>
          <w:sz w:val="20"/>
          <w:szCs w:val="20"/>
        </w:rPr>
        <w:t>Na marginesie warto zauważyć, iż n</w:t>
      </w:r>
      <w:r w:rsidRPr="00E3030F">
        <w:rPr>
          <w:sz w:val="20"/>
          <w:szCs w:val="20"/>
        </w:rPr>
        <w:t xml:space="preserve">iestety, analogiczną wykładnię aktualnie obowiązujących przepisów wydaje się prezentować także uzasadnienie do Projektu. </w:t>
      </w:r>
    </w:p>
    <w:p w14:paraId="3EE4BA26" w14:textId="77777777" w:rsidR="00A046F2" w:rsidRPr="00E3030F" w:rsidRDefault="00A046F2" w:rsidP="00A046F2">
      <w:pPr>
        <w:spacing w:line="360" w:lineRule="auto"/>
        <w:jc w:val="both"/>
        <w:rPr>
          <w:sz w:val="20"/>
          <w:szCs w:val="20"/>
        </w:rPr>
      </w:pPr>
      <w:r w:rsidRPr="00E3030F">
        <w:rPr>
          <w:sz w:val="20"/>
          <w:szCs w:val="20"/>
        </w:rPr>
        <w:t xml:space="preserve">W świetle powyższego, </w:t>
      </w:r>
      <w:r w:rsidRPr="00E3030F">
        <w:rPr>
          <w:b/>
          <w:bCs/>
          <w:sz w:val="20"/>
          <w:szCs w:val="20"/>
          <w:u w:val="single"/>
        </w:rPr>
        <w:t>aby uchronić firmy przed bardzo negatywnymi, poważnymi skutkami wątpliwości wynikających ze sformułowań przepisów obowiązujących od 1 stycznia 2022 r., niekorzystnie interpretowanych przez właściwy urząd skarbowy, w ocenie BCC konieczne jest wydanie w trybie maksymalnie pilnym przepisów incydentalnych, zgodnie z którymi reżim przewidziany w obecnym Projekcie miałby zastosowanie także od 1 stycznia 2022 roku, a ważność oświadczeń złożonych w 2022 roku zostałaby wydłużona do końca roku podatkowego w przypadku dokonywania przez płatnika dalszych płatności w ciągu 2022 roku.</w:t>
      </w:r>
      <w:r w:rsidRPr="00E3030F">
        <w:rPr>
          <w:sz w:val="20"/>
          <w:szCs w:val="20"/>
        </w:rPr>
        <w:t xml:space="preserve"> </w:t>
      </w:r>
    </w:p>
    <w:p w14:paraId="67C6079D" w14:textId="77777777" w:rsidR="00A046F2" w:rsidRPr="00E3030F" w:rsidRDefault="00A046F2" w:rsidP="00A046F2">
      <w:pPr>
        <w:pStyle w:val="Akapitzlist"/>
        <w:numPr>
          <w:ilvl w:val="0"/>
          <w:numId w:val="3"/>
        </w:numPr>
        <w:spacing w:line="360" w:lineRule="auto"/>
        <w:ind w:left="0" w:hanging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3030F">
        <w:rPr>
          <w:rFonts w:ascii="Arial" w:hAnsi="Arial" w:cs="Arial"/>
          <w:b/>
          <w:bCs/>
          <w:sz w:val="20"/>
          <w:szCs w:val="20"/>
          <w:u w:val="single"/>
        </w:rPr>
        <w:t>Limit kosztów finansowania dłużnego</w:t>
      </w:r>
    </w:p>
    <w:p w14:paraId="331EFAA3" w14:textId="77777777" w:rsidR="00A046F2" w:rsidRPr="00E3030F" w:rsidRDefault="00A046F2" w:rsidP="00A046F2">
      <w:pPr>
        <w:pStyle w:val="xmsolistparagraph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14:paraId="46820892" w14:textId="77777777" w:rsidR="00A046F2" w:rsidRPr="00E3030F" w:rsidRDefault="00A046F2" w:rsidP="00A046F2">
      <w:pPr>
        <w:pStyle w:val="xmsolistparagraph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E3030F">
        <w:rPr>
          <w:rFonts w:ascii="Arial" w:eastAsia="Times New Roman" w:hAnsi="Arial" w:cs="Arial"/>
          <w:sz w:val="20"/>
          <w:szCs w:val="20"/>
        </w:rPr>
        <w:t xml:space="preserve">BCC z zadowoleniem dostrzega proponowaną korektę brzmienia art. 15c ust.1 ustawy o CIT mającą na celu doprecyzowanie zasad kalkulacji limitu. </w:t>
      </w:r>
    </w:p>
    <w:p w14:paraId="058F9C37" w14:textId="77777777" w:rsidR="00A046F2" w:rsidRPr="00E3030F" w:rsidRDefault="00A046F2" w:rsidP="00A046F2">
      <w:pPr>
        <w:pStyle w:val="xmsolistparagraph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14:paraId="71688EEB" w14:textId="77777777" w:rsidR="00A046F2" w:rsidRPr="00E3030F" w:rsidRDefault="00A046F2" w:rsidP="00A046F2">
      <w:pPr>
        <w:pStyle w:val="xmsolistparagraph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E3030F">
        <w:rPr>
          <w:rFonts w:ascii="Arial" w:eastAsia="Times New Roman" w:hAnsi="Arial" w:cs="Arial"/>
          <w:sz w:val="20"/>
          <w:szCs w:val="20"/>
        </w:rPr>
        <w:t xml:space="preserve">Jednocześnie, proponowany limit </w:t>
      </w:r>
      <w:r w:rsidRPr="00495DBC">
        <w:rPr>
          <w:rFonts w:ascii="Arial" w:eastAsia="Times New Roman" w:hAnsi="Arial" w:cs="Arial"/>
          <w:b/>
          <w:bCs/>
          <w:sz w:val="20"/>
          <w:szCs w:val="20"/>
        </w:rPr>
        <w:t>3.000.000 zł</w:t>
      </w:r>
      <w:r w:rsidRPr="00E3030F">
        <w:rPr>
          <w:rFonts w:ascii="Arial" w:eastAsia="Times New Roman" w:hAnsi="Arial" w:cs="Arial"/>
          <w:sz w:val="20"/>
          <w:szCs w:val="20"/>
        </w:rPr>
        <w:t xml:space="preserve"> lub 30% EBITDA jest zdecydowanie niższy niż wymagany na podstawie przepisów prawa europejskiego (3 mln EUR zgodnie z Dyrektywą Rady (UE) 2016/1164 z dnia 12 lipca 2016 r. (dalej: Dyrektywa)). Zgodnie z art. 4 ust. 3 lit. a) Dyrektywy, możliwe jest odstąpienie od stosowania limitu 30% EBITDA poprzez uprawnienie podatnika do odliczenia nadwyżki kosztów finansowania dłużnego do kwoty </w:t>
      </w:r>
      <w:r w:rsidRPr="00E3030F">
        <w:rPr>
          <w:rFonts w:ascii="Arial" w:eastAsia="Times New Roman" w:hAnsi="Arial" w:cs="Arial"/>
          <w:b/>
          <w:bCs/>
          <w:sz w:val="20"/>
          <w:szCs w:val="20"/>
        </w:rPr>
        <w:t>3.000.000 EUR</w:t>
      </w:r>
      <w:r w:rsidRPr="00E3030F">
        <w:rPr>
          <w:rFonts w:ascii="Arial" w:eastAsia="Times New Roman" w:hAnsi="Arial" w:cs="Arial"/>
          <w:sz w:val="20"/>
          <w:szCs w:val="20"/>
        </w:rPr>
        <w:t xml:space="preserve"> (tzw. bezpieczna przystań). </w:t>
      </w:r>
    </w:p>
    <w:p w14:paraId="533FBC44" w14:textId="77777777" w:rsidR="00A046F2" w:rsidRPr="00E3030F" w:rsidRDefault="00A046F2" w:rsidP="00A046F2">
      <w:pPr>
        <w:pStyle w:val="xmsolistparagraph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14:paraId="4F264FF3" w14:textId="77777777" w:rsidR="00A046F2" w:rsidRPr="00E3030F" w:rsidRDefault="00A046F2" w:rsidP="00A046F2">
      <w:pPr>
        <w:pStyle w:val="xmsolistparagraph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E3030F">
        <w:rPr>
          <w:rFonts w:ascii="Arial" w:eastAsia="Times New Roman" w:hAnsi="Arial" w:cs="Arial"/>
          <w:sz w:val="20"/>
          <w:szCs w:val="20"/>
        </w:rPr>
        <w:t>Tymczasem Projekt nadal przewiduje jako tzw. bezpieczną przystań kwotę 3.000.000 zł. Jest więc to kwota niemal pięciokrotnie niższa aniżeli przewidziana w przepisach Dyrektywy. Z raportu Komisji Europejskiej z 19 sierpnia 2020 r. dotyczącego implementacji Dyrektywy w poszczególnych państwach członkowskich wynika, że jedynie 6 państw członkowskich zdecydowało się na przyjęcie jako bezpiecznej przystani kwoty niższej niż maksymalna dozwolona kwota, tj. 3.000.000 EUR.</w:t>
      </w:r>
      <w:r w:rsidRPr="00E3030F">
        <w:rPr>
          <w:rFonts w:ascii="Arial" w:eastAsia="Times New Roman" w:hAnsi="Arial" w:cs="Arial"/>
          <w:sz w:val="20"/>
          <w:szCs w:val="20"/>
          <w:vertAlign w:val="superscript"/>
        </w:rPr>
        <w:footnoteReference w:id="1"/>
      </w:r>
      <w:r w:rsidRPr="00E3030F">
        <w:rPr>
          <w:rFonts w:ascii="Arial" w:eastAsia="Times New Roman" w:hAnsi="Arial" w:cs="Arial"/>
          <w:sz w:val="20"/>
          <w:szCs w:val="20"/>
        </w:rPr>
        <w:t xml:space="preserve"> Państwa z Europy Środkowo-Wschodniej również zdecydowały się na wprowadzenie wyższych limitów. </w:t>
      </w:r>
      <w:r w:rsidRPr="00E3030F">
        <w:rPr>
          <w:rFonts w:ascii="Arial" w:eastAsia="Times New Roman" w:hAnsi="Arial" w:cs="Arial"/>
          <w:sz w:val="20"/>
          <w:szCs w:val="20"/>
        </w:rPr>
        <w:lastRenderedPageBreak/>
        <w:t xml:space="preserve">Przykładowo, bezpieczna przystań przewidziana w przepisach węgierskich wynosi 939,810,000 HUF co według aktualnego kursu stanowi odpowiednik kwoty zbliżonej do limitu przewidzianego w Dyrektywie. </w:t>
      </w:r>
    </w:p>
    <w:p w14:paraId="0BD5EF8D" w14:textId="77777777" w:rsidR="00A046F2" w:rsidRPr="00E3030F" w:rsidRDefault="00A046F2" w:rsidP="00A046F2">
      <w:pPr>
        <w:pStyle w:val="xmsolistparagraph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E3030F">
        <w:rPr>
          <w:rFonts w:ascii="Arial" w:eastAsia="Times New Roman" w:hAnsi="Arial" w:cs="Arial"/>
          <w:sz w:val="20"/>
          <w:szCs w:val="20"/>
        </w:rPr>
        <w:br/>
        <w:t xml:space="preserve">W świetle powyższego, w ocenie BCC, obowiązująca od 1 stycznia 2022 r. zmiana wzoru na liczenie limitu nadwyżki kosztów finansowania dłużnego, która może stanowić koszt uzyskania przychodów (zmiana sumy kwot 3.000.000 zł i 30% podatkowej EBITDA na alternatywę) bez jednoczesnego dostosowania kwoty bezpiecznej przystani do zasad wynikających z Dyrektywy i stosowanych przez większość państw członkowskich UE (w tym Węgry) stanowi </w:t>
      </w:r>
      <w:r w:rsidRPr="00E3030F">
        <w:rPr>
          <w:rFonts w:ascii="Arial" w:eastAsia="Times New Roman" w:hAnsi="Arial" w:cs="Arial"/>
          <w:b/>
          <w:bCs/>
          <w:sz w:val="20"/>
          <w:szCs w:val="20"/>
          <w:u w:val="single"/>
        </w:rPr>
        <w:t>zdecydowane pogorszenie efektywności podatkowej finansowania dłużnego</w:t>
      </w:r>
      <w:r w:rsidRPr="00E3030F">
        <w:rPr>
          <w:rFonts w:ascii="Arial" w:eastAsia="Times New Roman" w:hAnsi="Arial" w:cs="Arial"/>
          <w:b/>
          <w:bCs/>
          <w:sz w:val="20"/>
          <w:szCs w:val="20"/>
        </w:rPr>
        <w:t xml:space="preserve">, co szczególnie w związku z </w:t>
      </w:r>
      <w:r w:rsidRPr="00E3030F">
        <w:rPr>
          <w:rFonts w:ascii="Arial" w:eastAsia="Times New Roman" w:hAnsi="Arial" w:cs="Arial"/>
          <w:b/>
          <w:bCs/>
          <w:sz w:val="20"/>
          <w:szCs w:val="20"/>
          <w:u w:val="single"/>
        </w:rPr>
        <w:t>drastycznym wzrostem stóp procentowych oraz nadal trudną sytuacją wielu przedsiębiorców wywołaną pandemią COVID-19 może przyśpieszyć i pogłębić nadchodzące spowolnienie gospodarcze</w:t>
      </w:r>
      <w:r w:rsidRPr="00E3030F">
        <w:rPr>
          <w:rFonts w:ascii="Arial" w:eastAsia="Times New Roman" w:hAnsi="Arial" w:cs="Arial"/>
          <w:sz w:val="20"/>
          <w:szCs w:val="20"/>
        </w:rPr>
        <w:t xml:space="preserve">. Należy bowiem mieć na uwadze, że limit wynikający z art. 15c dotyczy nie tylko finansowania grupowego, ale także kosztów finansowania zewnętrznego, w tym bankowego. </w:t>
      </w:r>
      <w:r w:rsidRPr="00E3030F">
        <w:rPr>
          <w:rFonts w:ascii="Arial" w:eastAsia="Times New Roman" w:hAnsi="Arial" w:cs="Arial"/>
          <w:b/>
          <w:bCs/>
          <w:sz w:val="20"/>
          <w:szCs w:val="20"/>
        </w:rPr>
        <w:t>Projektowana zmiana doprowadzi do tego, że koszty uzyskania tego finansowania znacząco wzrosną, a polscy przedsiębiorcy będą w dużo gorszej sytuacji od podmiotów prowadzących działalność w innych państwach członkowskich. Spadnie więc atrakcyjność Polski jako miejsca do lokowania biznesu i inwestowania</w:t>
      </w:r>
      <w:r w:rsidRPr="00E3030F">
        <w:rPr>
          <w:rFonts w:ascii="Arial" w:eastAsia="Times New Roman" w:hAnsi="Arial" w:cs="Arial"/>
          <w:sz w:val="20"/>
          <w:szCs w:val="20"/>
        </w:rPr>
        <w:t xml:space="preserve">.  </w:t>
      </w:r>
    </w:p>
    <w:p w14:paraId="2953B8A2" w14:textId="77777777" w:rsidR="00A046F2" w:rsidRPr="00E3030F" w:rsidRDefault="00A046F2" w:rsidP="00A046F2">
      <w:pPr>
        <w:pStyle w:val="xmsolistparagraph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14:paraId="0BDEF27A" w14:textId="77777777" w:rsidR="00A046F2" w:rsidRPr="00E3030F" w:rsidRDefault="00A046F2" w:rsidP="00A046F2">
      <w:pPr>
        <w:pStyle w:val="xmsolistparagraph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E3030F">
        <w:rPr>
          <w:rFonts w:ascii="Arial" w:eastAsia="Times New Roman" w:hAnsi="Arial" w:cs="Arial"/>
          <w:sz w:val="20"/>
          <w:szCs w:val="20"/>
        </w:rPr>
        <w:t>W związku z powyższym, BCC postuluje zwiększenie kwoty tzw. bezpiecznej przystani do równowartości kwoty 3.000.000 EUR.</w:t>
      </w:r>
    </w:p>
    <w:p w14:paraId="0308DAB6" w14:textId="77777777" w:rsidR="00A046F2" w:rsidRPr="00E3030F" w:rsidRDefault="00A046F2" w:rsidP="00A046F2">
      <w:pPr>
        <w:pStyle w:val="xmsolistparagraph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14:paraId="05BB27ED" w14:textId="77777777" w:rsidR="00A046F2" w:rsidRPr="00E3030F" w:rsidRDefault="00A046F2" w:rsidP="00A046F2">
      <w:pPr>
        <w:pStyle w:val="Akapitzlist"/>
        <w:numPr>
          <w:ilvl w:val="0"/>
          <w:numId w:val="3"/>
        </w:numPr>
        <w:spacing w:line="360" w:lineRule="auto"/>
        <w:ind w:left="0" w:hanging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3030F">
        <w:rPr>
          <w:rFonts w:ascii="Arial" w:hAnsi="Arial" w:cs="Arial"/>
          <w:b/>
          <w:bCs/>
          <w:sz w:val="20"/>
          <w:szCs w:val="20"/>
          <w:u w:val="single"/>
        </w:rPr>
        <w:t xml:space="preserve">Opodatkowanie czynności reorganizacyjnych </w:t>
      </w:r>
    </w:p>
    <w:p w14:paraId="77F75E3A" w14:textId="77777777" w:rsidR="00A046F2" w:rsidRPr="00E3030F" w:rsidRDefault="00A046F2" w:rsidP="00A046F2">
      <w:pPr>
        <w:pStyle w:val="xmsonormal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030F">
        <w:rPr>
          <w:rFonts w:ascii="Arial" w:hAnsi="Arial" w:cs="Arial"/>
          <w:sz w:val="20"/>
          <w:szCs w:val="20"/>
        </w:rPr>
        <w:t xml:space="preserve">BCC z przykrością odnotowuje brak uwzględnienia bardzo istotnych postulatów dotyczących reżimu opodatkowania czynności reorganizacyjnych (podziały, połączenia, aporty), który w wyniku nowelizacji z października 2021 r. został istotnie zmieniony w ten sposób, że obecnie jest niezrozumiały, wewnętrznie sprzeczny i trudny do zastosowania, a także niezgodny z przepisami wspólnotowymi. </w:t>
      </w:r>
    </w:p>
    <w:p w14:paraId="67E6D191" w14:textId="77777777" w:rsidR="00A046F2" w:rsidRPr="00E3030F" w:rsidRDefault="00A046F2" w:rsidP="00A046F2">
      <w:pPr>
        <w:pStyle w:val="xmsolistparagraph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14:paraId="1D0297FF" w14:textId="77777777" w:rsidR="00A046F2" w:rsidRPr="00E3030F" w:rsidRDefault="00A046F2" w:rsidP="00A046F2">
      <w:pPr>
        <w:pStyle w:val="Akapitzlist"/>
        <w:numPr>
          <w:ilvl w:val="0"/>
          <w:numId w:val="3"/>
        </w:numPr>
        <w:spacing w:line="360" w:lineRule="auto"/>
        <w:ind w:left="0" w:hanging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3030F">
        <w:rPr>
          <w:rFonts w:ascii="Arial" w:hAnsi="Arial" w:cs="Arial"/>
          <w:b/>
          <w:bCs/>
          <w:sz w:val="20"/>
          <w:szCs w:val="20"/>
          <w:u w:val="single"/>
        </w:rPr>
        <w:t>Spółka holdingowa</w:t>
      </w:r>
    </w:p>
    <w:p w14:paraId="078DCFD5" w14:textId="77777777" w:rsidR="00A046F2" w:rsidRPr="00E3030F" w:rsidRDefault="00A046F2" w:rsidP="00A046F2">
      <w:pPr>
        <w:pStyle w:val="xmsolistparagraph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E3030F">
        <w:rPr>
          <w:rFonts w:ascii="Arial" w:eastAsia="Times New Roman" w:hAnsi="Arial" w:cs="Arial"/>
          <w:sz w:val="20"/>
          <w:szCs w:val="20"/>
        </w:rPr>
        <w:t xml:space="preserve">BCC pragnie zwrócić uwagę na brak uwzględnienia postulatów zgłaszanych przez spółki, których akcje są notowane na giełdach, a więc podmioty nie tylko bardzo istotne z perspektywy gospodarki, ale także poddane rygorystycznemu nadzorowi. Z perspektywy spółek giełdowych warunek weryfikacji czy nie posiadają wśród akcjonariuszy bezpośrednich lub pośrednich podmiotów z terytorium lub kraju wskazanego w art. 24m pkt 1 lit. e ustawy o CIT jest w praktyce niemożliwe do spełnienia. </w:t>
      </w:r>
    </w:p>
    <w:p w14:paraId="666AC8B6" w14:textId="77777777" w:rsidR="00A046F2" w:rsidRPr="00E3030F" w:rsidRDefault="00A046F2" w:rsidP="00A046F2">
      <w:pPr>
        <w:pStyle w:val="xmsolistparagraph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14:paraId="29A2E003" w14:textId="77777777" w:rsidR="00A046F2" w:rsidRPr="00E3030F" w:rsidRDefault="00A046F2" w:rsidP="00A046F2">
      <w:pPr>
        <w:pStyle w:val="xmsolistparagraph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E3030F">
        <w:rPr>
          <w:rFonts w:ascii="Arial" w:eastAsia="Times New Roman" w:hAnsi="Arial" w:cs="Arial"/>
          <w:sz w:val="20"/>
          <w:szCs w:val="20"/>
        </w:rPr>
        <w:t xml:space="preserve">Brak uwzględnienia postulatu w ww. zakresie bardzo zaskakuje, ponieważ był on zgłaszany wielokrotnie przez największe organizacje przedsiębiorców i pracodawców i Ministerstwo Finansów historycznie pozytywnie się do niego odniosło. </w:t>
      </w:r>
    </w:p>
    <w:p w14:paraId="68788A29" w14:textId="77777777" w:rsidR="00A046F2" w:rsidRPr="00E3030F" w:rsidRDefault="00A046F2" w:rsidP="00A046F2">
      <w:pPr>
        <w:pStyle w:val="xmsolistparagraph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14:paraId="73593423" w14:textId="77777777" w:rsidR="00A046F2" w:rsidRPr="00E3030F" w:rsidRDefault="00A046F2" w:rsidP="00A046F2">
      <w:pPr>
        <w:pStyle w:val="xmsolistparagraph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E3030F">
        <w:rPr>
          <w:rFonts w:ascii="Arial" w:eastAsia="Times New Roman" w:hAnsi="Arial" w:cs="Arial"/>
          <w:sz w:val="20"/>
          <w:szCs w:val="20"/>
        </w:rPr>
        <w:lastRenderedPageBreak/>
        <w:t xml:space="preserve">BCC postuluje </w:t>
      </w:r>
      <w:r w:rsidRPr="00E3030F">
        <w:rPr>
          <w:rFonts w:ascii="Arial" w:eastAsia="Times New Roman" w:hAnsi="Arial" w:cs="Arial"/>
          <w:b/>
          <w:bCs/>
          <w:sz w:val="20"/>
          <w:szCs w:val="20"/>
        </w:rPr>
        <w:t>wyłączenie ograniczeń odnoszących się do akcjonariuszy spółek notowanych na giełdzie papierów wartościowych</w:t>
      </w:r>
      <w:r w:rsidRPr="00E3030F">
        <w:rPr>
          <w:rFonts w:ascii="Arial" w:eastAsia="Times New Roman" w:hAnsi="Arial" w:cs="Arial"/>
          <w:sz w:val="20"/>
          <w:szCs w:val="20"/>
        </w:rPr>
        <w:t xml:space="preserve"> lub zmodyfikowanie art. 24m ust. 1 pkt e w taki sposób, by dopuszczalne było posiadanie przez podmioty z terytorium lub kraju wskazanego w tych przepisach nie więcej niż 10% udziałów (akcji) w spółce holdingowej.</w:t>
      </w:r>
    </w:p>
    <w:p w14:paraId="40321C79" w14:textId="77777777" w:rsidR="00A046F2" w:rsidRPr="00E3030F" w:rsidRDefault="00A046F2" w:rsidP="00A046F2">
      <w:pPr>
        <w:pStyle w:val="xmsolistparagraph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14:paraId="5D7B2E3D" w14:textId="77777777" w:rsidR="00A046F2" w:rsidRPr="00E3030F" w:rsidRDefault="00A046F2" w:rsidP="00A046F2">
      <w:pPr>
        <w:pStyle w:val="Akapitzlist"/>
        <w:numPr>
          <w:ilvl w:val="0"/>
          <w:numId w:val="3"/>
        </w:numPr>
        <w:spacing w:line="360" w:lineRule="auto"/>
        <w:ind w:left="0" w:hanging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3030F">
        <w:rPr>
          <w:rFonts w:ascii="Arial" w:hAnsi="Arial" w:cs="Arial"/>
          <w:b/>
          <w:bCs/>
          <w:sz w:val="20"/>
          <w:szCs w:val="20"/>
          <w:u w:val="single"/>
        </w:rPr>
        <w:t xml:space="preserve">Podatek od przerzuconych dochodów </w:t>
      </w:r>
    </w:p>
    <w:p w14:paraId="59A9C3A8" w14:textId="77777777" w:rsidR="00A046F2" w:rsidRPr="00E3030F" w:rsidRDefault="00A046F2" w:rsidP="00A046F2">
      <w:pPr>
        <w:pStyle w:val="xmsolistparagraph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E3030F">
        <w:rPr>
          <w:rFonts w:ascii="Arial" w:eastAsia="Times New Roman" w:hAnsi="Arial" w:cs="Arial"/>
          <w:sz w:val="20"/>
          <w:szCs w:val="20"/>
        </w:rPr>
        <w:t>Z perspektywy BCC niezrozumiały – w kontekście wcześniejszych deklaracji ze strony MF – jest brak uwzględnienia postulatów, aby podatku nie stosować w przypadku, gdy płatności, które mogą stanowić jego podstawę są ponoszone na rzecz podmiotów prowadzących istotną rzeczywistą działalność gospodarczą w państwach nienależących do UE i EOG, ale niestosujących szkodliwej konkurencji podatkowej, a jednocześnie będących ważnymi partnerami handlowymi dla Polski. Chodzi w szczególności (co najmniej) o Stany Zjednoczone, Wielką Brytanię i Konfederację Szwajcarską, Kanadę i Japonię. BCC postuluje wprowadzenie wyłączenia z obowiązku zapłaty podatku od przerzuconych dochodów w przypadku, gdy jego podstawą miałyby być płatności na rzecz kontrahentów z państw, z którymi Polska zawarła umowy o unikaniu podwójnego opodatkowania (lub co najmniej z wiarygodnych państw, niestosujących szkodliwej konkurencji podatkowej, w szczególności z Wielkiej Brytanii, Stanów Zjednoczonych</w:t>
      </w:r>
      <w:r>
        <w:rPr>
          <w:rFonts w:ascii="Arial" w:eastAsia="Times New Roman" w:hAnsi="Arial" w:cs="Arial"/>
          <w:sz w:val="20"/>
          <w:szCs w:val="20"/>
        </w:rPr>
        <w:t>, Kanady, Japonii</w:t>
      </w:r>
      <w:r w:rsidRPr="00E3030F">
        <w:rPr>
          <w:rFonts w:ascii="Arial" w:eastAsia="Times New Roman" w:hAnsi="Arial" w:cs="Arial"/>
          <w:sz w:val="20"/>
          <w:szCs w:val="20"/>
        </w:rPr>
        <w:t xml:space="preserve"> i Konfederacji Szwajcarskiej) jeśli kontrahenci prowadzą tam istotną rzeczywistą działalność gospodarczą.</w:t>
      </w:r>
    </w:p>
    <w:p w14:paraId="60C3FAA4" w14:textId="77777777" w:rsidR="00A046F2" w:rsidRPr="00E3030F" w:rsidRDefault="00A046F2" w:rsidP="00A046F2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bookmarkEnd w:id="0"/>
    <w:bookmarkEnd w:id="1"/>
    <w:p w14:paraId="05F1D4D0" w14:textId="297DEB6F" w:rsidR="00397CC7" w:rsidRDefault="00397CC7" w:rsidP="008C6616">
      <w:pPr>
        <w:spacing w:line="360" w:lineRule="auto"/>
        <w:rPr>
          <w:rFonts w:eastAsia="Times New Roman"/>
          <w:color w:val="222222"/>
          <w:sz w:val="18"/>
          <w:szCs w:val="18"/>
          <w:lang w:val="pl-PL"/>
        </w:rPr>
      </w:pPr>
    </w:p>
    <w:p w14:paraId="0D9F3CCC" w14:textId="77777777" w:rsidR="007F3411" w:rsidRDefault="007F3411" w:rsidP="00EA793D">
      <w:pPr>
        <w:spacing w:line="240" w:lineRule="auto"/>
        <w:rPr>
          <w:bCs/>
          <w:sz w:val="15"/>
          <w:szCs w:val="15"/>
          <w:u w:val="single"/>
        </w:rPr>
      </w:pPr>
    </w:p>
    <w:p w14:paraId="6B125D2C" w14:textId="77777777" w:rsidR="007F3411" w:rsidRDefault="007F3411" w:rsidP="00EA793D">
      <w:pPr>
        <w:spacing w:line="240" w:lineRule="auto"/>
        <w:rPr>
          <w:bCs/>
          <w:sz w:val="15"/>
          <w:szCs w:val="15"/>
          <w:u w:val="single"/>
        </w:rPr>
      </w:pPr>
    </w:p>
    <w:p w14:paraId="26F11E8E" w14:textId="77777777" w:rsidR="007F3411" w:rsidRDefault="007F3411" w:rsidP="00EA793D">
      <w:pPr>
        <w:spacing w:line="240" w:lineRule="auto"/>
        <w:rPr>
          <w:bCs/>
          <w:sz w:val="15"/>
          <w:szCs w:val="15"/>
          <w:u w:val="single"/>
        </w:rPr>
      </w:pPr>
    </w:p>
    <w:p w14:paraId="7E16A6D4" w14:textId="77777777" w:rsidR="007F3411" w:rsidRDefault="007F3411" w:rsidP="00EA793D">
      <w:pPr>
        <w:spacing w:line="240" w:lineRule="auto"/>
        <w:rPr>
          <w:bCs/>
          <w:sz w:val="15"/>
          <w:szCs w:val="15"/>
          <w:u w:val="single"/>
        </w:rPr>
      </w:pPr>
    </w:p>
    <w:p w14:paraId="661954AE" w14:textId="0B2DFB84" w:rsidR="00AD31D9" w:rsidRDefault="000C6150" w:rsidP="00EA793D">
      <w:pPr>
        <w:spacing w:line="240" w:lineRule="auto"/>
        <w:rPr>
          <w:bCs/>
          <w:sz w:val="15"/>
          <w:szCs w:val="15"/>
          <w:u w:val="single"/>
        </w:rPr>
      </w:pPr>
      <w:r w:rsidRPr="00B00F3F">
        <w:rPr>
          <w:bCs/>
          <w:sz w:val="15"/>
          <w:szCs w:val="15"/>
          <w:u w:val="single"/>
        </w:rPr>
        <w:t>Dodatkow</w:t>
      </w:r>
      <w:r w:rsidR="00AE3B0D" w:rsidRPr="00B00F3F">
        <w:rPr>
          <w:bCs/>
          <w:sz w:val="15"/>
          <w:szCs w:val="15"/>
          <w:u w:val="single"/>
        </w:rPr>
        <w:t>e informacje:</w:t>
      </w:r>
    </w:p>
    <w:p w14:paraId="6F980964" w14:textId="77777777" w:rsidR="00EA793D" w:rsidRPr="00EA793D" w:rsidRDefault="00EA793D" w:rsidP="00EA793D">
      <w:pPr>
        <w:spacing w:line="240" w:lineRule="auto"/>
        <w:rPr>
          <w:rStyle w:val="Pogrubienie"/>
          <w:b w:val="0"/>
          <w:sz w:val="15"/>
          <w:szCs w:val="15"/>
          <w:u w:val="single"/>
        </w:rPr>
      </w:pPr>
    </w:p>
    <w:p w14:paraId="74B6AE14" w14:textId="59C147A0" w:rsidR="00A046F2" w:rsidRPr="00A046F2" w:rsidRDefault="00A046F2" w:rsidP="00B30F91">
      <w:pPr>
        <w:rPr>
          <w:b/>
          <w:bCs/>
          <w:sz w:val="15"/>
          <w:szCs w:val="15"/>
          <w:lang w:val="pl-PL"/>
        </w:rPr>
      </w:pPr>
      <w:r w:rsidRPr="00A046F2">
        <w:rPr>
          <w:b/>
          <w:bCs/>
          <w:sz w:val="15"/>
          <w:szCs w:val="15"/>
          <w:lang w:val="pl-PL"/>
        </w:rPr>
        <w:t>Agnieszka Wnuk</w:t>
      </w:r>
    </w:p>
    <w:p w14:paraId="0C4F0550" w14:textId="5A9A5D1C" w:rsidR="000C6150" w:rsidRPr="00B30F91" w:rsidRDefault="000315AD" w:rsidP="00B30F91">
      <w:pPr>
        <w:rPr>
          <w:sz w:val="15"/>
          <w:szCs w:val="15"/>
          <w:lang w:val="pl-PL"/>
        </w:rPr>
      </w:pPr>
      <w:r w:rsidRPr="000315AD">
        <w:rPr>
          <w:sz w:val="15"/>
          <w:szCs w:val="15"/>
          <w:lang w:val="pl-PL"/>
        </w:rPr>
        <w:t>ekspertka BCC ds. podatku dochodowego od osób prawnych i międzynarodowego prawa podatkowego</w:t>
      </w:r>
    </w:p>
    <w:p w14:paraId="4E8B8FC6" w14:textId="13E53120" w:rsidR="000C6150" w:rsidRPr="005C0BFA" w:rsidRDefault="00AD31D9" w:rsidP="00F015A8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sz w:val="15"/>
          <w:szCs w:val="15"/>
        </w:rPr>
      </w:pPr>
      <w:r w:rsidRPr="00B00F3F">
        <w:rPr>
          <w:rFonts w:ascii="Arial" w:eastAsia="Calibri" w:hAnsi="Arial" w:cs="Arial"/>
          <w:color w:val="000000"/>
          <w:sz w:val="15"/>
          <w:szCs w:val="15"/>
        </w:rPr>
        <w:fldChar w:fldCharType="begin"/>
      </w:r>
      <w:r w:rsidRPr="005C0BFA">
        <w:rPr>
          <w:rFonts w:ascii="Arial" w:eastAsia="Calibri" w:hAnsi="Arial" w:cs="Arial"/>
          <w:color w:val="000000"/>
          <w:sz w:val="15"/>
          <w:szCs w:val="15"/>
        </w:rPr>
        <w:instrText xml:space="preserve"> INCLUDEPICTURE "/var/folders/1p/0ktbnpm91ws_7n6z3wx9ltqr0000gn/T/com.microsoft.Word/WebArchiveCopyPasteTempFiles/eksp-tel-ikon.png" \* MERGEFORMATINET </w:instrText>
      </w:r>
      <w:r w:rsidRPr="00B00F3F">
        <w:rPr>
          <w:rFonts w:ascii="Arial" w:eastAsia="Calibri" w:hAnsi="Arial" w:cs="Arial"/>
          <w:color w:val="000000"/>
          <w:sz w:val="15"/>
          <w:szCs w:val="15"/>
        </w:rPr>
        <w:fldChar w:fldCharType="separate"/>
      </w:r>
      <w:r w:rsidRPr="00B00F3F">
        <w:rPr>
          <w:rFonts w:ascii="Arial" w:eastAsia="Calibri" w:hAnsi="Arial" w:cs="Arial"/>
          <w:noProof/>
          <w:color w:val="000000"/>
          <w:sz w:val="15"/>
          <w:szCs w:val="15"/>
        </w:rPr>
        <w:drawing>
          <wp:inline distT="0" distB="0" distL="0" distR="0" wp14:anchorId="208B9615" wp14:editId="26095529">
            <wp:extent cx="102235" cy="10223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47" cy="12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F3F">
        <w:rPr>
          <w:rFonts w:ascii="Arial" w:eastAsia="Calibri" w:hAnsi="Arial" w:cs="Arial"/>
          <w:color w:val="000000"/>
          <w:sz w:val="15"/>
          <w:szCs w:val="15"/>
        </w:rPr>
        <w:fldChar w:fldCharType="end"/>
      </w:r>
      <w:r w:rsidR="000C6150" w:rsidRPr="005C0BFA">
        <w:rPr>
          <w:rFonts w:ascii="Arial" w:hAnsi="Arial" w:cs="Arial"/>
          <w:sz w:val="15"/>
          <w:szCs w:val="15"/>
        </w:rPr>
        <w:t> </w:t>
      </w:r>
      <w:r w:rsidR="00CB2F83" w:rsidRPr="005C0BFA">
        <w:rPr>
          <w:rFonts w:ascii="Arial" w:hAnsi="Arial" w:cs="Arial"/>
          <w:sz w:val="15"/>
          <w:szCs w:val="15"/>
        </w:rPr>
        <w:t xml:space="preserve"> </w:t>
      </w:r>
      <w:r w:rsidR="000315AD">
        <w:rPr>
          <w:rFonts w:ascii="Arial" w:hAnsi="Arial" w:cs="Arial"/>
          <w:sz w:val="15"/>
          <w:szCs w:val="15"/>
        </w:rPr>
        <w:t>667 661 767</w:t>
      </w:r>
    </w:p>
    <w:p w14:paraId="5B17843B" w14:textId="038A0435" w:rsidR="000C6150" w:rsidRDefault="00AD31D9" w:rsidP="00A046F2">
      <w:pPr>
        <w:pStyle w:val="NormalnyWeb"/>
        <w:tabs>
          <w:tab w:val="left" w:pos="1198"/>
        </w:tabs>
        <w:spacing w:before="0" w:beforeAutospacing="0" w:after="0" w:afterAutospacing="0"/>
        <w:textAlignment w:val="baseline"/>
        <w:rPr>
          <w:rFonts w:ascii="Arial" w:eastAsia="Calibri" w:hAnsi="Arial" w:cs="Arial"/>
          <w:color w:val="000000"/>
          <w:sz w:val="15"/>
          <w:szCs w:val="15"/>
        </w:rPr>
      </w:pPr>
      <w:r w:rsidRPr="00B00F3F">
        <w:rPr>
          <w:rFonts w:ascii="Arial" w:eastAsia="Calibri" w:hAnsi="Arial" w:cs="Arial"/>
          <w:color w:val="000000"/>
          <w:sz w:val="15"/>
          <w:szCs w:val="15"/>
        </w:rPr>
        <w:fldChar w:fldCharType="begin"/>
      </w:r>
      <w:r w:rsidRPr="005C0BFA">
        <w:rPr>
          <w:rFonts w:ascii="Arial" w:eastAsia="Calibri" w:hAnsi="Arial" w:cs="Arial"/>
          <w:color w:val="000000"/>
          <w:sz w:val="15"/>
          <w:szCs w:val="15"/>
        </w:rPr>
        <w:instrText xml:space="preserve"> INCLUDEPICTURE "/var/folders/1p/0ktbnpm91ws_7n6z3wx9ltqr0000gn/T/com.microsoft.Word/WebArchiveCopyPasteTempFiles/eksp-mail-ikon.png" \* MERGEFORMATINET </w:instrText>
      </w:r>
      <w:r w:rsidRPr="00B00F3F">
        <w:rPr>
          <w:rFonts w:ascii="Arial" w:eastAsia="Calibri" w:hAnsi="Arial" w:cs="Arial"/>
          <w:color w:val="000000"/>
          <w:sz w:val="15"/>
          <w:szCs w:val="15"/>
        </w:rPr>
        <w:fldChar w:fldCharType="separate"/>
      </w:r>
      <w:r w:rsidRPr="00B00F3F">
        <w:rPr>
          <w:rFonts w:ascii="Arial" w:eastAsia="Calibri" w:hAnsi="Arial" w:cs="Arial"/>
          <w:noProof/>
          <w:color w:val="000000"/>
          <w:sz w:val="15"/>
          <w:szCs w:val="15"/>
        </w:rPr>
        <w:drawing>
          <wp:inline distT="0" distB="0" distL="0" distR="0" wp14:anchorId="288F3328" wp14:editId="18AA5F00">
            <wp:extent cx="128511" cy="86898"/>
            <wp:effectExtent l="0" t="0" r="0" b="254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3" cy="9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F3F">
        <w:rPr>
          <w:rFonts w:ascii="Arial" w:eastAsia="Calibri" w:hAnsi="Arial" w:cs="Arial"/>
          <w:color w:val="000000"/>
          <w:sz w:val="15"/>
          <w:szCs w:val="15"/>
        </w:rPr>
        <w:fldChar w:fldCharType="end"/>
      </w:r>
      <w:r w:rsidRPr="005C0BFA">
        <w:rPr>
          <w:rFonts w:ascii="Arial" w:eastAsia="Calibri" w:hAnsi="Arial" w:cs="Arial"/>
          <w:color w:val="000000"/>
          <w:sz w:val="15"/>
          <w:szCs w:val="15"/>
        </w:rPr>
        <w:t xml:space="preserve"> </w:t>
      </w:r>
      <w:r w:rsidR="000315AD">
        <w:rPr>
          <w:rFonts w:ascii="Arial" w:eastAsia="Calibri" w:hAnsi="Arial" w:cs="Arial"/>
          <w:color w:val="000000"/>
          <w:sz w:val="15"/>
          <w:szCs w:val="15"/>
        </w:rPr>
        <w:t>agnieszka.wnuk@bcc.org.pl</w:t>
      </w:r>
      <w:r w:rsidR="00A046F2">
        <w:rPr>
          <w:rFonts w:ascii="Arial" w:eastAsia="Calibri" w:hAnsi="Arial" w:cs="Arial"/>
          <w:color w:val="000000"/>
          <w:sz w:val="15"/>
          <w:szCs w:val="15"/>
        </w:rPr>
        <w:tab/>
      </w:r>
    </w:p>
    <w:p w14:paraId="347DB7D9" w14:textId="77777777" w:rsidR="00A046F2" w:rsidRPr="005C0BFA" w:rsidRDefault="00A046F2" w:rsidP="00A046F2">
      <w:pPr>
        <w:pStyle w:val="NormalnyWeb"/>
        <w:tabs>
          <w:tab w:val="left" w:pos="1198"/>
        </w:tabs>
        <w:spacing w:before="0" w:beforeAutospacing="0" w:after="0" w:afterAutospacing="0"/>
        <w:textAlignment w:val="baseline"/>
        <w:rPr>
          <w:rFonts w:ascii="Arial" w:hAnsi="Arial" w:cs="Arial"/>
          <w:sz w:val="15"/>
          <w:szCs w:val="15"/>
        </w:rPr>
      </w:pPr>
    </w:p>
    <w:p w14:paraId="6B472CB4" w14:textId="77777777" w:rsidR="000E049E" w:rsidRPr="005C0BFA" w:rsidRDefault="000E049E" w:rsidP="00F015A8">
      <w:pPr>
        <w:rPr>
          <w:b/>
          <w:bCs/>
          <w:sz w:val="15"/>
          <w:szCs w:val="15"/>
          <w:bdr w:val="none" w:sz="0" w:space="0" w:color="auto" w:frame="1"/>
          <w:lang w:val="pl-PL"/>
        </w:rPr>
      </w:pPr>
    </w:p>
    <w:p w14:paraId="720EADFA" w14:textId="3AF53035" w:rsidR="00AD31D9" w:rsidRPr="00B00F3F" w:rsidRDefault="00AD31D9" w:rsidP="00F015A8">
      <w:pPr>
        <w:rPr>
          <w:b/>
          <w:bCs/>
          <w:sz w:val="15"/>
          <w:szCs w:val="15"/>
          <w:bdr w:val="none" w:sz="0" w:space="0" w:color="auto" w:frame="1"/>
        </w:rPr>
      </w:pPr>
      <w:r w:rsidRPr="00B00F3F">
        <w:rPr>
          <w:b/>
          <w:bCs/>
          <w:sz w:val="15"/>
          <w:szCs w:val="15"/>
          <w:bdr w:val="none" w:sz="0" w:space="0" w:color="auto" w:frame="1"/>
        </w:rPr>
        <w:t>Mirosław Kasprzak</w:t>
      </w:r>
    </w:p>
    <w:p w14:paraId="3835344D" w14:textId="77777777" w:rsidR="00AD31D9" w:rsidRPr="00B00F3F" w:rsidRDefault="00AD31D9" w:rsidP="00F015A8">
      <w:pPr>
        <w:rPr>
          <w:sz w:val="15"/>
          <w:szCs w:val="15"/>
          <w:bdr w:val="none" w:sz="0" w:space="0" w:color="auto" w:frame="1"/>
        </w:rPr>
      </w:pPr>
      <w:r w:rsidRPr="00B00F3F">
        <w:rPr>
          <w:sz w:val="15"/>
          <w:szCs w:val="15"/>
          <w:bdr w:val="none" w:sz="0" w:space="0" w:color="auto" w:frame="1"/>
        </w:rPr>
        <w:t>Rzecznik BCC</w:t>
      </w:r>
    </w:p>
    <w:p w14:paraId="6C2437C6" w14:textId="00AAF9E7" w:rsidR="00AD31D9" w:rsidRPr="00B00F3F" w:rsidRDefault="00AD31D9" w:rsidP="00F015A8">
      <w:pPr>
        <w:rPr>
          <w:sz w:val="15"/>
          <w:szCs w:val="15"/>
        </w:rPr>
      </w:pPr>
      <w:r w:rsidRPr="00B00F3F">
        <w:rPr>
          <w:rFonts w:eastAsia="Calibri"/>
          <w:color w:val="000000"/>
          <w:sz w:val="15"/>
          <w:szCs w:val="15"/>
        </w:rPr>
        <w:fldChar w:fldCharType="begin"/>
      </w:r>
      <w:r w:rsidRPr="00B00F3F">
        <w:rPr>
          <w:rFonts w:eastAsia="Calibri"/>
          <w:color w:val="000000"/>
          <w:sz w:val="15"/>
          <w:szCs w:val="15"/>
        </w:rPr>
        <w:instrText xml:space="preserve"> INCLUDEPICTURE "/var/folders/1p/0ktbnpm91ws_7n6z3wx9ltqr0000gn/T/com.microsoft.Word/WebArchiveCopyPasteTempFiles/eksp-tel-ikon.png" \* MERGEFORMATINET </w:instrText>
      </w:r>
      <w:r w:rsidRPr="00B00F3F">
        <w:rPr>
          <w:rFonts w:eastAsia="Calibri"/>
          <w:color w:val="000000"/>
          <w:sz w:val="15"/>
          <w:szCs w:val="15"/>
        </w:rPr>
        <w:fldChar w:fldCharType="separate"/>
      </w:r>
      <w:r w:rsidRPr="00B00F3F">
        <w:rPr>
          <w:rFonts w:eastAsia="Calibri"/>
          <w:noProof/>
          <w:color w:val="000000"/>
          <w:sz w:val="15"/>
          <w:szCs w:val="15"/>
        </w:rPr>
        <w:drawing>
          <wp:inline distT="0" distB="0" distL="0" distR="0" wp14:anchorId="7CA8FA95" wp14:editId="79A21744">
            <wp:extent cx="102235" cy="10223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47" cy="12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F3F">
        <w:rPr>
          <w:rFonts w:eastAsia="Calibri"/>
          <w:color w:val="000000"/>
          <w:sz w:val="15"/>
          <w:szCs w:val="15"/>
        </w:rPr>
        <w:fldChar w:fldCharType="end"/>
      </w:r>
      <w:r w:rsidRPr="00B00F3F">
        <w:rPr>
          <w:rFonts w:eastAsia="Calibri"/>
          <w:color w:val="000000"/>
          <w:sz w:val="15"/>
          <w:szCs w:val="15"/>
        </w:rPr>
        <w:t xml:space="preserve">  608 529 504</w:t>
      </w:r>
    </w:p>
    <w:p w14:paraId="5E8709BF" w14:textId="23080896" w:rsidR="00B00F3F" w:rsidRDefault="00AD31D9" w:rsidP="00F015A8">
      <w:pPr>
        <w:rPr>
          <w:color w:val="000000" w:themeColor="text1"/>
          <w:sz w:val="15"/>
          <w:szCs w:val="15"/>
          <w:bdr w:val="none" w:sz="0" w:space="0" w:color="auto" w:frame="1"/>
        </w:rPr>
      </w:pPr>
      <w:r w:rsidRPr="00B00F3F">
        <w:rPr>
          <w:rFonts w:eastAsia="Calibri"/>
          <w:color w:val="000000"/>
          <w:sz w:val="15"/>
          <w:szCs w:val="15"/>
        </w:rPr>
        <w:fldChar w:fldCharType="begin"/>
      </w:r>
      <w:r w:rsidRPr="00B00F3F">
        <w:rPr>
          <w:rFonts w:eastAsia="Calibri"/>
          <w:color w:val="000000"/>
          <w:sz w:val="15"/>
          <w:szCs w:val="15"/>
        </w:rPr>
        <w:instrText xml:space="preserve"> INCLUDEPICTURE "/var/folders/1p/0ktbnpm91ws_7n6z3wx9ltqr0000gn/T/com.microsoft.Word/WebArchiveCopyPasteTempFiles/eksp-mail-ikon.png" \* MERGEFORMATINET </w:instrText>
      </w:r>
      <w:r w:rsidRPr="00B00F3F">
        <w:rPr>
          <w:rFonts w:eastAsia="Calibri"/>
          <w:color w:val="000000"/>
          <w:sz w:val="15"/>
          <w:szCs w:val="15"/>
        </w:rPr>
        <w:fldChar w:fldCharType="separate"/>
      </w:r>
      <w:r w:rsidRPr="00B00F3F">
        <w:rPr>
          <w:rFonts w:eastAsia="Calibri"/>
          <w:noProof/>
          <w:color w:val="000000"/>
          <w:sz w:val="15"/>
          <w:szCs w:val="15"/>
        </w:rPr>
        <w:drawing>
          <wp:inline distT="0" distB="0" distL="0" distR="0" wp14:anchorId="5A6396B2" wp14:editId="39990268">
            <wp:extent cx="128511" cy="86898"/>
            <wp:effectExtent l="0" t="0" r="0" b="254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3" cy="9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F3F">
        <w:rPr>
          <w:rFonts w:eastAsia="Calibri"/>
          <w:color w:val="000000"/>
          <w:sz w:val="15"/>
          <w:szCs w:val="15"/>
        </w:rPr>
        <w:fldChar w:fldCharType="end"/>
      </w:r>
      <w:r w:rsidRPr="00B00F3F">
        <w:rPr>
          <w:sz w:val="15"/>
          <w:szCs w:val="15"/>
        </w:rPr>
        <w:t xml:space="preserve">  </w:t>
      </w:r>
      <w:r w:rsidR="000E049E" w:rsidRPr="000E049E">
        <w:rPr>
          <w:color w:val="000000" w:themeColor="text1"/>
          <w:sz w:val="15"/>
          <w:szCs w:val="15"/>
          <w:bdr w:val="none" w:sz="0" w:space="0" w:color="auto" w:frame="1"/>
        </w:rPr>
        <w:t>miroslaw.kasprzak@bcc.pl</w:t>
      </w:r>
    </w:p>
    <w:p w14:paraId="7B40F5B9" w14:textId="061FAB47" w:rsidR="000E049E" w:rsidRDefault="000E049E" w:rsidP="007F3411">
      <w:pPr>
        <w:rPr>
          <w:color w:val="000000" w:themeColor="text1"/>
          <w:sz w:val="15"/>
          <w:szCs w:val="15"/>
          <w:bdr w:val="none" w:sz="0" w:space="0" w:color="auto" w:frame="1"/>
        </w:rPr>
      </w:pPr>
    </w:p>
    <w:p w14:paraId="0BBCC266" w14:textId="56117E4E" w:rsidR="00F64F46" w:rsidRPr="00B00F3F" w:rsidRDefault="00AE3B0D" w:rsidP="00B00F3F">
      <w:pPr>
        <w:pBdr>
          <w:top w:val="single" w:sz="4" w:space="6" w:color="C00000"/>
        </w:pBdr>
        <w:spacing w:line="240" w:lineRule="auto"/>
        <w:jc w:val="both"/>
        <w:rPr>
          <w:rFonts w:ascii="Calibri" w:eastAsia="Calibri" w:hAnsi="Calibri" w:cs="Calibri"/>
          <w:i/>
          <w:color w:val="808080"/>
          <w:sz w:val="10"/>
          <w:szCs w:val="10"/>
        </w:rPr>
      </w:pPr>
      <w:r>
        <w:rPr>
          <w:rFonts w:ascii="Calibri" w:eastAsia="Calibri" w:hAnsi="Calibri" w:cs="Calibri"/>
          <w:b/>
          <w:i/>
          <w:color w:val="808080"/>
          <w:sz w:val="10"/>
          <w:szCs w:val="10"/>
        </w:rPr>
        <w:t>Business Centre Club</w:t>
      </w:r>
      <w:r>
        <w:rPr>
          <w:rFonts w:ascii="Calibri" w:eastAsia="Calibri" w:hAnsi="Calibri" w:cs="Calibri"/>
          <w:i/>
          <w:color w:val="808080"/>
          <w:sz w:val="10"/>
          <w:szCs w:val="10"/>
        </w:rPr>
        <w:t xml:space="preserve"> powstał pod koniec XX w., w 1991 roku. Jest prestiżowym Klubem przedsiębiorców i największą w kraju ustawową organizacją indywidualnych pracodawców. Grupa BCC składa się z Klubu BCC, Związku Pracodawców BCC i Studenckiego Forum BCC. Członkowie BCC zatrudniają ponad 400 tys. pracowników, obroty firm sięgają 20 miliardów złotych a siedziby rozlokowane są w blisko 250 miastach. Na terenie całej Polski działają 22 loże regionalne. Do BCC należą przedstawiciele wszystkich branż, międzynarodowe korporacje, instytucje finansowe i ubezpieczeniowe, firmy telekomunikacyjne, najwięksi polscy producenci, uczelnie wyższe, koncerny wydawnicze i znane kancelarie prawne. Członkami Klubu są także prawnicy, dziennikarze, naukowcy, wydawcy, lekarze, wojskowi i studenci. BCC koncentruje się na działaniach na rzecz rozwoju gospodarki i pomocy przedsiębiorcom, jest ustawowym członkiem Rady Dialogu Społecznego. Koordynatorem wszystkich działań BCC jest Marek Goliszewski.</w:t>
      </w:r>
    </w:p>
    <w:sectPr w:rsidR="00F64F46" w:rsidRPr="00B00F3F" w:rsidSect="00AD31D9">
      <w:headerReference w:type="default" r:id="rId10"/>
      <w:pgSz w:w="11909" w:h="16834"/>
      <w:pgMar w:top="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A61D5" w14:textId="77777777" w:rsidR="00B76027" w:rsidRDefault="00B76027">
      <w:pPr>
        <w:spacing w:line="240" w:lineRule="auto"/>
      </w:pPr>
      <w:r>
        <w:separator/>
      </w:r>
    </w:p>
  </w:endnote>
  <w:endnote w:type="continuationSeparator" w:id="0">
    <w:p w14:paraId="534C3266" w14:textId="77777777" w:rsidR="00B76027" w:rsidRDefault="00B760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F1A28" w14:textId="77777777" w:rsidR="00B76027" w:rsidRDefault="00B76027">
      <w:pPr>
        <w:spacing w:line="240" w:lineRule="auto"/>
      </w:pPr>
      <w:r>
        <w:separator/>
      </w:r>
    </w:p>
  </w:footnote>
  <w:footnote w:type="continuationSeparator" w:id="0">
    <w:p w14:paraId="4F59B527" w14:textId="77777777" w:rsidR="00B76027" w:rsidRDefault="00B76027">
      <w:pPr>
        <w:spacing w:line="240" w:lineRule="auto"/>
      </w:pPr>
      <w:r>
        <w:continuationSeparator/>
      </w:r>
    </w:p>
  </w:footnote>
  <w:footnote w:id="1">
    <w:p w14:paraId="31DE6B1E" w14:textId="77777777" w:rsidR="00A046F2" w:rsidRDefault="00A046F2" w:rsidP="00A046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BA51A3">
          <w:rPr>
            <w:rStyle w:val="Hipercze"/>
          </w:rPr>
          <w:t>https://eur-lex.europa.eu/legal-content/EN/TXT/PDF/?uri=CELEX:52020DC0383&amp;rid=3</w:t>
        </w:r>
      </w:hyperlink>
    </w:p>
    <w:p w14:paraId="3CC029A7" w14:textId="77777777" w:rsidR="00A046F2" w:rsidRDefault="00A046F2" w:rsidP="00A046F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10D2F" w14:textId="77777777" w:rsidR="00E32AE3" w:rsidRDefault="00E32AE3">
    <w:pPr>
      <w:tabs>
        <w:tab w:val="left" w:pos="0"/>
        <w:tab w:val="left" w:pos="8647"/>
        <w:tab w:val="left" w:pos="9072"/>
      </w:tabs>
    </w:pPr>
  </w:p>
  <w:p w14:paraId="6B93B4C4" w14:textId="77777777" w:rsidR="00E32AE3" w:rsidRDefault="00E32A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03C51"/>
    <w:multiLevelType w:val="hybridMultilevel"/>
    <w:tmpl w:val="EC2C0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6196A"/>
    <w:multiLevelType w:val="hybridMultilevel"/>
    <w:tmpl w:val="865ABD50"/>
    <w:lvl w:ilvl="0" w:tplc="B89E1E8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357AC"/>
    <w:multiLevelType w:val="multilevel"/>
    <w:tmpl w:val="39AE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B86702"/>
    <w:multiLevelType w:val="multilevel"/>
    <w:tmpl w:val="17B2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2721FE"/>
    <w:multiLevelType w:val="multilevel"/>
    <w:tmpl w:val="2C3C4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Calibri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8904843">
    <w:abstractNumId w:val="3"/>
  </w:num>
  <w:num w:numId="2" w16cid:durableId="502865031">
    <w:abstractNumId w:val="2"/>
  </w:num>
  <w:num w:numId="3" w16cid:durableId="543058753">
    <w:abstractNumId w:val="0"/>
  </w:num>
  <w:num w:numId="4" w16cid:durableId="2065517418">
    <w:abstractNumId w:val="4"/>
  </w:num>
  <w:num w:numId="5" w16cid:durableId="1669211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AE3"/>
    <w:rsid w:val="00011EB6"/>
    <w:rsid w:val="000315AD"/>
    <w:rsid w:val="000C6150"/>
    <w:rsid w:val="000C7D5C"/>
    <w:rsid w:val="000E049E"/>
    <w:rsid w:val="001D4832"/>
    <w:rsid w:val="002100E3"/>
    <w:rsid w:val="00216D70"/>
    <w:rsid w:val="00250CFE"/>
    <w:rsid w:val="00296377"/>
    <w:rsid w:val="002E4B07"/>
    <w:rsid w:val="00360AC9"/>
    <w:rsid w:val="00397CC7"/>
    <w:rsid w:val="003E059B"/>
    <w:rsid w:val="004564A3"/>
    <w:rsid w:val="00460C0F"/>
    <w:rsid w:val="004C5DA1"/>
    <w:rsid w:val="004F2E3D"/>
    <w:rsid w:val="00541D0B"/>
    <w:rsid w:val="00546A9C"/>
    <w:rsid w:val="005B1CD3"/>
    <w:rsid w:val="005B7937"/>
    <w:rsid w:val="005C0BFA"/>
    <w:rsid w:val="00681C2D"/>
    <w:rsid w:val="00687D50"/>
    <w:rsid w:val="00753367"/>
    <w:rsid w:val="007F3411"/>
    <w:rsid w:val="007F73FD"/>
    <w:rsid w:val="00896077"/>
    <w:rsid w:val="008C6616"/>
    <w:rsid w:val="008E4628"/>
    <w:rsid w:val="008F2B95"/>
    <w:rsid w:val="00A046F2"/>
    <w:rsid w:val="00A12750"/>
    <w:rsid w:val="00AD0304"/>
    <w:rsid w:val="00AD31D9"/>
    <w:rsid w:val="00AE071C"/>
    <w:rsid w:val="00AE3B0D"/>
    <w:rsid w:val="00B00F3F"/>
    <w:rsid w:val="00B06EFE"/>
    <w:rsid w:val="00B30F91"/>
    <w:rsid w:val="00B76027"/>
    <w:rsid w:val="00C03FCC"/>
    <w:rsid w:val="00C52505"/>
    <w:rsid w:val="00CA456A"/>
    <w:rsid w:val="00CB2F83"/>
    <w:rsid w:val="00D0438C"/>
    <w:rsid w:val="00D45BF4"/>
    <w:rsid w:val="00D76E7B"/>
    <w:rsid w:val="00E10229"/>
    <w:rsid w:val="00E32AE3"/>
    <w:rsid w:val="00E35C43"/>
    <w:rsid w:val="00E44648"/>
    <w:rsid w:val="00EA793D"/>
    <w:rsid w:val="00F015A8"/>
    <w:rsid w:val="00F06EC3"/>
    <w:rsid w:val="00F633A2"/>
    <w:rsid w:val="00F64F46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622C"/>
  <w15:docId w15:val="{0ACAB5AC-E309-4066-B3E5-AF135F1B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5B7937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5B7937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B7937"/>
    <w:rPr>
      <w:b/>
      <w:bCs/>
    </w:rPr>
  </w:style>
  <w:style w:type="paragraph" w:customStyle="1" w:styleId="etpbmemberposition">
    <w:name w:val="et_pb_member_position"/>
    <w:basedOn w:val="Normalny"/>
    <w:rsid w:val="005B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Uwydatnienie">
    <w:name w:val="Emphasis"/>
    <w:basedOn w:val="Domylnaczcionkaakapitu"/>
    <w:uiPriority w:val="20"/>
    <w:qFormat/>
    <w:rsid w:val="005B7937"/>
    <w:rPr>
      <w:i/>
      <w:iCs/>
    </w:rPr>
  </w:style>
  <w:style w:type="paragraph" w:styleId="NormalnyWeb">
    <w:name w:val="Normal (Web)"/>
    <w:basedOn w:val="Normalny"/>
    <w:uiPriority w:val="99"/>
    <w:unhideWhenUsed/>
    <w:rsid w:val="005B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apple-converted-space">
    <w:name w:val="apple-converted-space"/>
    <w:basedOn w:val="Domylnaczcionkaakapitu"/>
    <w:rsid w:val="00216D70"/>
  </w:style>
  <w:style w:type="character" w:styleId="UyteHipercze">
    <w:name w:val="FollowedHyperlink"/>
    <w:basedOn w:val="Domylnaczcionkaakapitu"/>
    <w:uiPriority w:val="99"/>
    <w:semiHidden/>
    <w:unhideWhenUsed/>
    <w:rsid w:val="00AD31D9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31D9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E44648"/>
  </w:style>
  <w:style w:type="character" w:customStyle="1" w:styleId="cf01">
    <w:name w:val="cf01"/>
    <w:rsid w:val="00E44648"/>
    <w:rPr>
      <w:rFonts w:ascii="Segoe UI" w:hAnsi="Segoe UI" w:cs="Segoe UI" w:hint="default"/>
      <w:sz w:val="18"/>
      <w:szCs w:val="18"/>
    </w:rPr>
  </w:style>
  <w:style w:type="character" w:customStyle="1" w:styleId="q4iawc">
    <w:name w:val="q4iawc"/>
    <w:basedOn w:val="Domylnaczcionkaakapitu"/>
    <w:rsid w:val="00E44648"/>
  </w:style>
  <w:style w:type="paragraph" w:styleId="Akapitzlist">
    <w:name w:val="List Paragraph"/>
    <w:basedOn w:val="Normalny"/>
    <w:link w:val="AkapitzlistZnak"/>
    <w:uiPriority w:val="34"/>
    <w:qFormat/>
    <w:rsid w:val="00A046F2"/>
    <w:pPr>
      <w:spacing w:after="200"/>
      <w:ind w:left="720"/>
      <w:contextualSpacing/>
    </w:pPr>
    <w:rPr>
      <w:rFonts w:asciiTheme="minorHAnsi" w:eastAsiaTheme="minorEastAsia" w:hAnsiTheme="minorHAnsi" w:cstheme="minorBidi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46F2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46F2"/>
    <w:rPr>
      <w:rFonts w:asciiTheme="minorHAnsi" w:eastAsiaTheme="minorEastAsia" w:hAnsiTheme="minorHAnsi" w:cstheme="minorBidi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46F2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46F2"/>
    <w:rPr>
      <w:rFonts w:asciiTheme="minorHAnsi" w:eastAsiaTheme="minorEastAsia" w:hAnsiTheme="minorHAnsi" w:cstheme="minorBidi"/>
      <w:lang w:val="pl-PL"/>
    </w:rPr>
  </w:style>
  <w:style w:type="paragraph" w:customStyle="1" w:styleId="xmsonormal">
    <w:name w:val="x_msonormal"/>
    <w:basedOn w:val="Normalny"/>
    <w:rsid w:val="00A046F2"/>
    <w:pPr>
      <w:spacing w:line="240" w:lineRule="auto"/>
    </w:pPr>
    <w:rPr>
      <w:rFonts w:ascii="Calibri" w:eastAsiaTheme="minorHAnsi" w:hAnsi="Calibri" w:cs="Calibri"/>
      <w:lang w:val="pl-PL"/>
    </w:rPr>
  </w:style>
  <w:style w:type="paragraph" w:customStyle="1" w:styleId="xmsolistparagraph">
    <w:name w:val="x_msolistparagraph"/>
    <w:basedOn w:val="Normalny"/>
    <w:rsid w:val="00A046F2"/>
    <w:pPr>
      <w:spacing w:line="240" w:lineRule="auto"/>
      <w:ind w:left="720"/>
    </w:pPr>
    <w:rPr>
      <w:rFonts w:ascii="Calibri" w:eastAsiaTheme="minorHAns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9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7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EN/TXT/PDF/?uri=CELEX:52020DC0383&amp;rid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2274</Words>
  <Characters>13650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Kasprzak Mirosław</cp:lastModifiedBy>
  <cp:revision>3</cp:revision>
  <dcterms:created xsi:type="dcterms:W3CDTF">2022-07-12T10:00:00Z</dcterms:created>
  <dcterms:modified xsi:type="dcterms:W3CDTF">2022-07-12T10:06:00Z</dcterms:modified>
</cp:coreProperties>
</file>