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0654" w14:textId="77777777" w:rsidR="009923F5" w:rsidRDefault="009923F5">
      <w:pPr>
        <w:spacing w:line="276" w:lineRule="auto"/>
        <w:jc w:val="center"/>
      </w:pPr>
    </w:p>
    <w:p w14:paraId="0CAC9764" w14:textId="77777777" w:rsidR="009923F5" w:rsidRDefault="00000000">
      <w:pPr>
        <w:spacing w:line="240" w:lineRule="auto"/>
        <w:jc w:val="center"/>
        <w:rPr>
          <w:rFonts w:ascii="Arial Black" w:eastAsia="Arial Black" w:hAnsi="Arial Black" w:cs="Arial Black"/>
          <w:i w:val="0"/>
          <w:iCs w:val="0"/>
          <w:caps/>
          <w:color w:val="BE1E2D"/>
          <w:sz w:val="28"/>
          <w:szCs w:val="28"/>
          <w:u w:color="BE1E2D"/>
        </w:rPr>
      </w:pPr>
      <w:bookmarkStart w:id="0" w:name="_Hlk193721068"/>
      <w:r>
        <w:rPr>
          <w:rFonts w:ascii="Arial Black" w:hAnsi="Arial Black"/>
          <w:i w:val="0"/>
          <w:iCs w:val="0"/>
          <w:caps/>
          <w:color w:val="BE1E2D"/>
          <w:sz w:val="28"/>
          <w:szCs w:val="28"/>
          <w:u w:color="BE1E2D"/>
        </w:rPr>
        <w:t xml:space="preserve">Nowelizacja ustawy o cyberbezpieczeństwie </w:t>
      </w:r>
    </w:p>
    <w:p w14:paraId="543886C2" w14:textId="77777777" w:rsidR="009923F5" w:rsidRDefault="00000000">
      <w:pPr>
        <w:spacing w:line="240" w:lineRule="auto"/>
        <w:jc w:val="center"/>
        <w:rPr>
          <w:rFonts w:ascii="Arial Black" w:eastAsia="Arial Black" w:hAnsi="Arial Black" w:cs="Arial Black"/>
          <w:i w:val="0"/>
          <w:iCs w:val="0"/>
          <w:caps/>
          <w:color w:val="BE1E2D"/>
          <w:sz w:val="28"/>
          <w:szCs w:val="28"/>
          <w:u w:color="BE1E2D"/>
        </w:rPr>
      </w:pPr>
      <w:r>
        <w:rPr>
          <w:rFonts w:ascii="Arial Black" w:hAnsi="Arial Black"/>
          <w:i w:val="0"/>
          <w:iCs w:val="0"/>
          <w:caps/>
          <w:color w:val="BE1E2D"/>
          <w:sz w:val="28"/>
          <w:szCs w:val="28"/>
          <w:u w:color="BE1E2D"/>
        </w:rPr>
        <w:t xml:space="preserve">bez dialogu? BCC ostrzega przed ryzykiem </w:t>
      </w:r>
    </w:p>
    <w:p w14:paraId="1796997F" w14:textId="77777777" w:rsidR="009923F5" w:rsidRDefault="00000000">
      <w:pPr>
        <w:spacing w:line="240" w:lineRule="auto"/>
        <w:jc w:val="center"/>
        <w:rPr>
          <w:rFonts w:ascii="Arial Black" w:eastAsia="Arial Black" w:hAnsi="Arial Black" w:cs="Arial Black"/>
          <w:i w:val="0"/>
          <w:iCs w:val="0"/>
          <w:caps/>
          <w:color w:val="BE1E2D"/>
          <w:sz w:val="28"/>
          <w:szCs w:val="28"/>
          <w:u w:color="BE1E2D"/>
        </w:rPr>
      </w:pPr>
      <w:r>
        <w:rPr>
          <w:rFonts w:ascii="Arial Black" w:hAnsi="Arial Black"/>
          <w:i w:val="0"/>
          <w:iCs w:val="0"/>
          <w:caps/>
          <w:color w:val="BE1E2D"/>
          <w:sz w:val="28"/>
          <w:szCs w:val="28"/>
          <w:u w:color="BE1E2D"/>
        </w:rPr>
        <w:t>dla gospodarki</w:t>
      </w:r>
    </w:p>
    <w:p w14:paraId="078B4886" w14:textId="77777777" w:rsidR="009923F5" w:rsidRDefault="009923F5">
      <w:pPr>
        <w:spacing w:line="240" w:lineRule="auto"/>
        <w:jc w:val="center"/>
        <w:rPr>
          <w:rFonts w:ascii="Arial Black" w:eastAsia="Arial Black" w:hAnsi="Arial Black" w:cs="Arial Black"/>
          <w:i w:val="0"/>
          <w:iCs w:val="0"/>
          <w:caps/>
          <w:color w:val="BE1E2D"/>
          <w:sz w:val="28"/>
          <w:szCs w:val="28"/>
          <w:u w:color="BE1E2D"/>
        </w:rPr>
      </w:pPr>
    </w:p>
    <w:p w14:paraId="0569F6AE" w14:textId="77777777" w:rsidR="009923F5" w:rsidRDefault="00000000">
      <w:pPr>
        <w:spacing w:line="276" w:lineRule="auto"/>
        <w:jc w:val="left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Business Centre Club </w:t>
      </w:r>
      <w:proofErr w:type="spellStart"/>
      <w:r>
        <w:rPr>
          <w:b/>
          <w:bCs/>
          <w:i w:val="0"/>
          <w:iCs w:val="0"/>
          <w:sz w:val="22"/>
          <w:szCs w:val="22"/>
        </w:rPr>
        <w:t>apeluje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o </w:t>
      </w:r>
      <w:proofErr w:type="spellStart"/>
      <w:r>
        <w:rPr>
          <w:b/>
          <w:bCs/>
          <w:i w:val="0"/>
          <w:iCs w:val="0"/>
          <w:sz w:val="22"/>
          <w:szCs w:val="22"/>
        </w:rPr>
        <w:t>staranność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legislacyjną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i </w:t>
      </w:r>
      <w:proofErr w:type="spellStart"/>
      <w:r>
        <w:rPr>
          <w:b/>
          <w:bCs/>
          <w:i w:val="0"/>
          <w:iCs w:val="0"/>
          <w:sz w:val="22"/>
          <w:szCs w:val="22"/>
        </w:rPr>
        <w:t>realne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konsultacje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                                  po </w:t>
      </w:r>
      <w:proofErr w:type="spellStart"/>
      <w:r>
        <w:rPr>
          <w:b/>
          <w:bCs/>
          <w:i w:val="0"/>
          <w:iCs w:val="0"/>
          <w:sz w:val="22"/>
          <w:szCs w:val="22"/>
        </w:rPr>
        <w:t>zakończeniu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prac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sejmowej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komisji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nad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nowelizacją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ustawy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o KSC. </w:t>
      </w:r>
      <w:proofErr w:type="spellStart"/>
      <w:r>
        <w:rPr>
          <w:b/>
          <w:bCs/>
          <w:i w:val="0"/>
          <w:iCs w:val="0"/>
          <w:sz w:val="22"/>
          <w:szCs w:val="22"/>
        </w:rPr>
        <w:t>Zdaniem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przedsiębiorców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pośpiech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i </w:t>
      </w:r>
      <w:proofErr w:type="spellStart"/>
      <w:r>
        <w:rPr>
          <w:b/>
          <w:bCs/>
          <w:i w:val="0"/>
          <w:iCs w:val="0"/>
          <w:sz w:val="22"/>
          <w:szCs w:val="22"/>
        </w:rPr>
        <w:t>nadregulacja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mogą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osłabić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konkurencyjność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polskiej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gospodarki</w:t>
      </w:r>
      <w:proofErr w:type="spellEnd"/>
      <w:r>
        <w:rPr>
          <w:b/>
          <w:bCs/>
          <w:i w:val="0"/>
          <w:iCs w:val="0"/>
          <w:sz w:val="22"/>
          <w:szCs w:val="22"/>
        </w:rPr>
        <w:t>.</w:t>
      </w:r>
    </w:p>
    <w:p w14:paraId="4D2914F4" w14:textId="77777777" w:rsidR="009923F5" w:rsidRDefault="009923F5">
      <w:pPr>
        <w:spacing w:line="276" w:lineRule="auto"/>
        <w:jc w:val="left"/>
        <w:rPr>
          <w:b/>
          <w:bCs/>
          <w:i w:val="0"/>
          <w:iCs w:val="0"/>
          <w:sz w:val="22"/>
          <w:szCs w:val="22"/>
        </w:rPr>
      </w:pPr>
    </w:p>
    <w:p w14:paraId="3C15A0C5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proofErr w:type="spellStart"/>
      <w:r>
        <w:rPr>
          <w:i w:val="0"/>
          <w:iCs w:val="0"/>
          <w:sz w:val="22"/>
          <w:szCs w:val="22"/>
        </w:rPr>
        <w:t>Podczas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posiedzenia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sejmowej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komisji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zakończyła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prace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nad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projektem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nowelizacji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ustawy</w:t>
      </w:r>
      <w:proofErr w:type="spellEnd"/>
      <w:r>
        <w:rPr>
          <w:i w:val="0"/>
          <w:iCs w:val="0"/>
          <w:sz w:val="22"/>
          <w:szCs w:val="22"/>
        </w:rPr>
        <w:t xml:space="preserve"> o </w:t>
      </w:r>
      <w:proofErr w:type="spellStart"/>
      <w:r>
        <w:rPr>
          <w:i w:val="0"/>
          <w:iCs w:val="0"/>
          <w:sz w:val="22"/>
          <w:szCs w:val="22"/>
        </w:rPr>
        <w:t>krajowym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systemie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cyberbezpieczeństwa</w:t>
      </w:r>
      <w:proofErr w:type="spellEnd"/>
      <w:r>
        <w:rPr>
          <w:i w:val="0"/>
          <w:iCs w:val="0"/>
          <w:sz w:val="22"/>
          <w:szCs w:val="22"/>
        </w:rPr>
        <w:t xml:space="preserve"> (KSC), </w:t>
      </w:r>
      <w:proofErr w:type="spellStart"/>
      <w:r>
        <w:rPr>
          <w:i w:val="0"/>
          <w:iCs w:val="0"/>
          <w:sz w:val="22"/>
          <w:szCs w:val="22"/>
        </w:rPr>
        <w:t>otwierając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kolejny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etap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procesu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legislacyjnego</w:t>
      </w:r>
      <w:proofErr w:type="spellEnd"/>
      <w:r>
        <w:rPr>
          <w:i w:val="0"/>
          <w:iCs w:val="0"/>
          <w:sz w:val="22"/>
          <w:szCs w:val="22"/>
        </w:rPr>
        <w:t xml:space="preserve">. </w:t>
      </w:r>
      <w:r>
        <w:rPr>
          <w:b/>
          <w:bCs/>
          <w:i w:val="0"/>
          <w:iCs w:val="0"/>
          <w:sz w:val="22"/>
          <w:szCs w:val="22"/>
        </w:rPr>
        <w:t>Business Centre Club</w:t>
      </w:r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dostrzegając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wagę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regulacji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dla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bezpieczeństwa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państwa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zwraca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jednak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uwagę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poważne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ryzyka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wynikające</w:t>
      </w:r>
      <w:proofErr w:type="spellEnd"/>
      <w:r>
        <w:rPr>
          <w:i w:val="0"/>
          <w:iCs w:val="0"/>
          <w:sz w:val="22"/>
          <w:szCs w:val="22"/>
        </w:rPr>
        <w:t xml:space="preserve"> z </w:t>
      </w:r>
      <w:proofErr w:type="spellStart"/>
      <w:r>
        <w:rPr>
          <w:i w:val="0"/>
          <w:iCs w:val="0"/>
          <w:sz w:val="22"/>
          <w:szCs w:val="22"/>
        </w:rPr>
        <w:t>obecnego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kształtu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projektu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24C56E06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– </w:t>
      </w:r>
      <w:proofErr w:type="spellStart"/>
      <w:r>
        <w:rPr>
          <w:sz w:val="22"/>
          <w:szCs w:val="22"/>
        </w:rPr>
        <w:t>Cyberbezpieczeństwo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wymaga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jakości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legislacyjnego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sprintu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Przepisy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przyjmowane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pogłębionej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analizy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dialogu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rynkiem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okazać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kosztowne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nieefektywne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trudne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wdrożenia</w:t>
      </w:r>
      <w:proofErr w:type="spellEnd"/>
      <w:r>
        <w:rPr>
          <w:i w:val="0"/>
          <w:iCs w:val="0"/>
          <w:sz w:val="22"/>
          <w:szCs w:val="22"/>
        </w:rPr>
        <w:t xml:space="preserve"> – </w:t>
      </w:r>
      <w:proofErr w:type="spellStart"/>
      <w:r>
        <w:rPr>
          <w:i w:val="0"/>
          <w:iCs w:val="0"/>
          <w:sz w:val="22"/>
          <w:szCs w:val="22"/>
        </w:rPr>
        <w:t>podkreślają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eksperci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r>
        <w:rPr>
          <w:b/>
          <w:bCs/>
          <w:i w:val="0"/>
          <w:iCs w:val="0"/>
          <w:sz w:val="22"/>
          <w:szCs w:val="22"/>
        </w:rPr>
        <w:t>BCC</w:t>
      </w:r>
      <w:r>
        <w:rPr>
          <w:i w:val="0"/>
          <w:iCs w:val="0"/>
          <w:sz w:val="22"/>
          <w:szCs w:val="22"/>
        </w:rPr>
        <w:t>.</w:t>
      </w:r>
    </w:p>
    <w:p w14:paraId="451AA875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2ABD66E6" w14:textId="77777777" w:rsidR="009923F5" w:rsidRDefault="00000000">
      <w:pPr>
        <w:spacing w:line="276" w:lineRule="auto"/>
        <w:jc w:val="left"/>
        <w:rPr>
          <w:b/>
          <w:bCs/>
          <w:i w:val="0"/>
          <w:iCs w:val="0"/>
          <w:sz w:val="22"/>
          <w:szCs w:val="22"/>
        </w:rPr>
      </w:pPr>
      <w:proofErr w:type="spellStart"/>
      <w:r>
        <w:rPr>
          <w:b/>
          <w:bCs/>
          <w:i w:val="0"/>
          <w:iCs w:val="0"/>
          <w:sz w:val="22"/>
          <w:szCs w:val="22"/>
        </w:rPr>
        <w:t>Biała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Księga BCC: </w:t>
      </w:r>
      <w:proofErr w:type="spellStart"/>
      <w:r>
        <w:rPr>
          <w:b/>
          <w:bCs/>
          <w:i w:val="0"/>
          <w:iCs w:val="0"/>
          <w:sz w:val="22"/>
          <w:szCs w:val="22"/>
        </w:rPr>
        <w:t>ostrzeżenie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przed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nadregulacją</w:t>
      </w:r>
      <w:proofErr w:type="spellEnd"/>
    </w:p>
    <w:p w14:paraId="3F214997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7B10FCFE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55C6A5FE" w14:textId="77777777" w:rsidR="009923F5" w:rsidRDefault="00000000">
      <w:pPr>
        <w:pStyle w:val="Domylne"/>
        <w:suppressAutoHyphens/>
        <w:spacing w:before="0" w:after="280" w:line="240" w:lineRule="auto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Wdrażanie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przepis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 </w:t>
      </w:r>
      <w:proofErr w:type="spellStart"/>
      <w:r>
        <w:rPr>
          <w:rFonts w:ascii="Arial" w:hAnsi="Arial"/>
          <w:sz w:val="22"/>
          <w:szCs w:val="22"/>
        </w:rPr>
        <w:t>unijnych</w:t>
      </w:r>
      <w:proofErr w:type="spellEnd"/>
      <w:r>
        <w:rPr>
          <w:rFonts w:ascii="Arial" w:hAnsi="Arial"/>
          <w:sz w:val="22"/>
          <w:szCs w:val="22"/>
        </w:rPr>
        <w:t xml:space="preserve"> nie </w:t>
      </w:r>
      <w:proofErr w:type="spellStart"/>
      <w:r>
        <w:rPr>
          <w:rFonts w:ascii="Arial" w:hAnsi="Arial"/>
          <w:sz w:val="22"/>
          <w:szCs w:val="22"/>
        </w:rPr>
        <w:t>może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być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pretekstem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tworzenia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nowych</w:t>
      </w:r>
      <w:proofErr w:type="spellEnd"/>
      <w:r>
        <w:rPr>
          <w:rFonts w:ascii="Arial" w:hAnsi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  <w:szCs w:val="22"/>
        </w:rPr>
        <w:t>wątpliwych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aspekcie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prawa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konstytucyjnego</w:t>
      </w:r>
      <w:proofErr w:type="spellEnd"/>
      <w:r>
        <w:rPr>
          <w:rFonts w:ascii="Arial" w:hAnsi="Arial"/>
          <w:sz w:val="22"/>
          <w:szCs w:val="22"/>
        </w:rPr>
        <w:t xml:space="preserve"> i </w:t>
      </w:r>
      <w:proofErr w:type="spellStart"/>
      <w:r>
        <w:rPr>
          <w:rFonts w:ascii="Arial" w:hAnsi="Arial"/>
          <w:sz w:val="22"/>
          <w:szCs w:val="22"/>
        </w:rPr>
        <w:t>administracyjnego</w:t>
      </w:r>
      <w:proofErr w:type="spellEnd"/>
      <w:r>
        <w:rPr>
          <w:rFonts w:ascii="Arial" w:hAnsi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  <w:szCs w:val="22"/>
        </w:rPr>
        <w:t>rozwiązań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prawnych</w:t>
      </w:r>
      <w:proofErr w:type="spellEnd"/>
      <w:r>
        <w:rPr>
          <w:rFonts w:ascii="Arial" w:hAnsi="Arial"/>
          <w:sz w:val="22"/>
          <w:szCs w:val="22"/>
        </w:rPr>
        <w:t xml:space="preserve">.  </w:t>
      </w:r>
      <w:proofErr w:type="spellStart"/>
      <w:r>
        <w:rPr>
          <w:rFonts w:ascii="Arial" w:hAnsi="Arial"/>
          <w:sz w:val="22"/>
          <w:szCs w:val="22"/>
        </w:rPr>
        <w:t>Każda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regulacja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mogąca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stanowić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arbitralne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narzędzie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aktualnej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władzy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może</w:t>
      </w:r>
      <w:proofErr w:type="spellEnd"/>
      <w:r>
        <w:rPr>
          <w:rFonts w:ascii="Arial" w:hAnsi="Arial"/>
          <w:sz w:val="22"/>
          <w:szCs w:val="22"/>
        </w:rPr>
        <w:t xml:space="preserve"> i z </w:t>
      </w:r>
      <w:proofErr w:type="spellStart"/>
      <w:r>
        <w:rPr>
          <w:rFonts w:ascii="Arial" w:hAnsi="Arial"/>
          <w:sz w:val="22"/>
          <w:szCs w:val="22"/>
        </w:rPr>
        <w:t>reguły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obraca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się</w:t>
      </w:r>
      <w:proofErr w:type="spellEnd"/>
      <w:r>
        <w:rPr>
          <w:rFonts w:ascii="Arial" w:hAnsi="Arial"/>
          <w:sz w:val="22"/>
          <w:szCs w:val="22"/>
        </w:rPr>
        <w:t xml:space="preserve">  </w:t>
      </w:r>
      <w:proofErr w:type="spellStart"/>
      <w:r>
        <w:rPr>
          <w:rFonts w:ascii="Arial" w:hAnsi="Arial"/>
          <w:sz w:val="22"/>
          <w:szCs w:val="22"/>
        </w:rPr>
        <w:t>przeciwko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interesowi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publicznemu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jak</w:t>
      </w:r>
      <w:proofErr w:type="spellEnd"/>
      <w:r>
        <w:rPr>
          <w:rFonts w:ascii="Arial" w:hAnsi="Arial"/>
          <w:sz w:val="22"/>
          <w:szCs w:val="22"/>
        </w:rPr>
        <w:t xml:space="preserve"> i </w:t>
      </w:r>
      <w:proofErr w:type="spellStart"/>
      <w:r>
        <w:rPr>
          <w:rFonts w:ascii="Arial" w:hAnsi="Arial"/>
          <w:sz w:val="22"/>
          <w:szCs w:val="22"/>
        </w:rPr>
        <w:t>tej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władzy</w:t>
      </w:r>
      <w:proofErr w:type="spellEnd"/>
      <w:r>
        <w:rPr>
          <w:rFonts w:ascii="Arial" w:hAnsi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  <w:szCs w:val="22"/>
        </w:rPr>
        <w:t>podkreśla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Andrzej Szmigiel, </w:t>
      </w:r>
      <w:proofErr w:type="spellStart"/>
      <w:r>
        <w:rPr>
          <w:rFonts w:ascii="Arial" w:hAnsi="Arial"/>
          <w:b/>
          <w:bCs/>
          <w:sz w:val="22"/>
          <w:szCs w:val="22"/>
        </w:rPr>
        <w:t>ekspert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BCC.</w:t>
      </w:r>
    </w:p>
    <w:p w14:paraId="40DAD5B8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W </w:t>
      </w:r>
      <w:proofErr w:type="spellStart"/>
      <w:r>
        <w:rPr>
          <w:i w:val="0"/>
          <w:iCs w:val="0"/>
          <w:sz w:val="22"/>
          <w:szCs w:val="22"/>
        </w:rPr>
        <w:t>związku</w:t>
      </w:r>
      <w:proofErr w:type="spellEnd"/>
      <w:r>
        <w:rPr>
          <w:i w:val="0"/>
          <w:iCs w:val="0"/>
          <w:sz w:val="22"/>
          <w:szCs w:val="22"/>
        </w:rPr>
        <w:t xml:space="preserve"> z </w:t>
      </w:r>
      <w:proofErr w:type="spellStart"/>
      <w:r>
        <w:rPr>
          <w:i w:val="0"/>
          <w:iCs w:val="0"/>
          <w:sz w:val="22"/>
          <w:szCs w:val="22"/>
        </w:rPr>
        <w:t>procedowaniem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projektu</w:t>
      </w:r>
      <w:proofErr w:type="spellEnd"/>
      <w:r>
        <w:rPr>
          <w:i w:val="0"/>
          <w:iCs w:val="0"/>
          <w:sz w:val="22"/>
          <w:szCs w:val="22"/>
        </w:rPr>
        <w:t xml:space="preserve"> (</w:t>
      </w:r>
      <w:proofErr w:type="spellStart"/>
      <w:r>
        <w:rPr>
          <w:i w:val="0"/>
          <w:iCs w:val="0"/>
          <w:sz w:val="22"/>
          <w:szCs w:val="22"/>
        </w:rPr>
        <w:t>druk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sejmowy</w:t>
      </w:r>
      <w:proofErr w:type="spellEnd"/>
      <w:r>
        <w:rPr>
          <w:i w:val="0"/>
          <w:iCs w:val="0"/>
          <w:sz w:val="22"/>
          <w:szCs w:val="22"/>
        </w:rPr>
        <w:t xml:space="preserve"> nr 1955) Business Centre Club </w:t>
      </w:r>
      <w:proofErr w:type="spellStart"/>
      <w:r>
        <w:rPr>
          <w:i w:val="0"/>
          <w:iCs w:val="0"/>
          <w:sz w:val="22"/>
          <w:szCs w:val="22"/>
        </w:rPr>
        <w:t>opublikował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Białą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Księgę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zawierającą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stanowiska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ekspertów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przedstawicieli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biznesu</w:t>
      </w:r>
      <w:proofErr w:type="spellEnd"/>
      <w:r>
        <w:rPr>
          <w:i w:val="0"/>
          <w:iCs w:val="0"/>
          <w:sz w:val="22"/>
          <w:szCs w:val="22"/>
        </w:rPr>
        <w:t xml:space="preserve">. </w:t>
      </w:r>
      <w:proofErr w:type="spellStart"/>
      <w:r>
        <w:rPr>
          <w:i w:val="0"/>
          <w:iCs w:val="0"/>
          <w:sz w:val="22"/>
          <w:szCs w:val="22"/>
        </w:rPr>
        <w:t>Dokument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stanowi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merytoryczny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głos</w:t>
      </w:r>
      <w:proofErr w:type="spellEnd"/>
      <w:r>
        <w:rPr>
          <w:i w:val="0"/>
          <w:iCs w:val="0"/>
          <w:sz w:val="22"/>
          <w:szCs w:val="22"/>
        </w:rPr>
        <w:t xml:space="preserve"> w </w:t>
      </w:r>
      <w:proofErr w:type="spellStart"/>
      <w:r>
        <w:rPr>
          <w:i w:val="0"/>
          <w:iCs w:val="0"/>
          <w:sz w:val="22"/>
          <w:szCs w:val="22"/>
        </w:rPr>
        <w:t>debacie</w:t>
      </w:r>
      <w:proofErr w:type="spellEnd"/>
      <w:r>
        <w:rPr>
          <w:i w:val="0"/>
          <w:iCs w:val="0"/>
          <w:sz w:val="22"/>
          <w:szCs w:val="22"/>
        </w:rPr>
        <w:t xml:space="preserve"> o </w:t>
      </w:r>
      <w:proofErr w:type="spellStart"/>
      <w:r>
        <w:rPr>
          <w:i w:val="0"/>
          <w:iCs w:val="0"/>
          <w:sz w:val="22"/>
          <w:szCs w:val="22"/>
        </w:rPr>
        <w:t>przyszłości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krajowego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systemu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cyberbezpieczeństwa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2645C285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5D443784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proofErr w:type="spellStart"/>
      <w:r>
        <w:rPr>
          <w:i w:val="0"/>
          <w:iCs w:val="0"/>
          <w:sz w:val="22"/>
          <w:szCs w:val="22"/>
        </w:rPr>
        <w:t>Najważniejsze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wnioski</w:t>
      </w:r>
      <w:proofErr w:type="spellEnd"/>
      <w:r>
        <w:rPr>
          <w:i w:val="0"/>
          <w:iCs w:val="0"/>
          <w:sz w:val="22"/>
          <w:szCs w:val="22"/>
        </w:rPr>
        <w:t xml:space="preserve"> BCC:</w:t>
      </w:r>
    </w:p>
    <w:p w14:paraId="1D129C92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-  </w:t>
      </w:r>
      <w:proofErr w:type="spellStart"/>
      <w:r>
        <w:rPr>
          <w:b/>
          <w:bCs/>
          <w:i w:val="0"/>
          <w:iCs w:val="0"/>
          <w:sz w:val="22"/>
          <w:szCs w:val="22"/>
        </w:rPr>
        <w:t>Jakość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prawa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ważniejsza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niż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tempo</w:t>
      </w:r>
      <w:r>
        <w:rPr>
          <w:b/>
          <w:bCs/>
          <w:i w:val="0"/>
          <w:iCs w:val="0"/>
          <w:sz w:val="22"/>
          <w:szCs w:val="22"/>
        </w:rPr>
        <w:br/>
      </w:r>
      <w:proofErr w:type="spellStart"/>
      <w:r>
        <w:rPr>
          <w:i w:val="0"/>
          <w:iCs w:val="0"/>
          <w:sz w:val="22"/>
          <w:szCs w:val="22"/>
        </w:rPr>
        <w:t>Zbyt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szybkie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procedowanie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przepisów</w:t>
      </w:r>
      <w:proofErr w:type="spellEnd"/>
      <w:r>
        <w:rPr>
          <w:i w:val="0"/>
          <w:iCs w:val="0"/>
          <w:sz w:val="22"/>
          <w:szCs w:val="22"/>
        </w:rPr>
        <w:t xml:space="preserve"> bez </w:t>
      </w:r>
      <w:proofErr w:type="spellStart"/>
      <w:r>
        <w:rPr>
          <w:i w:val="0"/>
          <w:iCs w:val="0"/>
          <w:sz w:val="22"/>
          <w:szCs w:val="22"/>
        </w:rPr>
        <w:t>realnych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konsultacji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zwiększa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ryzyko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przyjęcia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regulacji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nieproporcjonalnych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nieprzystających</w:t>
      </w:r>
      <w:proofErr w:type="spellEnd"/>
      <w:r>
        <w:rPr>
          <w:i w:val="0"/>
          <w:iCs w:val="0"/>
          <w:sz w:val="22"/>
          <w:szCs w:val="22"/>
        </w:rPr>
        <w:t xml:space="preserve"> do </w:t>
      </w:r>
      <w:proofErr w:type="spellStart"/>
      <w:r>
        <w:rPr>
          <w:i w:val="0"/>
          <w:iCs w:val="0"/>
          <w:sz w:val="22"/>
          <w:szCs w:val="22"/>
        </w:rPr>
        <w:t>realiów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rynkowych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6E0D49CE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0ED54998" w14:textId="77777777" w:rsidR="009923F5" w:rsidRDefault="00000000">
      <w:pPr>
        <w:numPr>
          <w:ilvl w:val="0"/>
          <w:numId w:val="2"/>
        </w:num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Projekt </w:t>
      </w:r>
      <w:proofErr w:type="spellStart"/>
      <w:r>
        <w:rPr>
          <w:b/>
          <w:bCs/>
          <w:i w:val="0"/>
          <w:iCs w:val="0"/>
          <w:sz w:val="22"/>
          <w:szCs w:val="22"/>
        </w:rPr>
        <w:t>wykracza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poza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wymogi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UE</w:t>
      </w:r>
      <w:r>
        <w:rPr>
          <w:rStyle w:val="BrakA"/>
          <w:i w:val="0"/>
          <w:iCs w:val="0"/>
          <w:sz w:val="22"/>
          <w:szCs w:val="22"/>
        </w:rPr>
        <w:br/>
      </w:r>
      <w:proofErr w:type="spellStart"/>
      <w:r>
        <w:rPr>
          <w:rStyle w:val="BrakA"/>
          <w:i w:val="0"/>
          <w:iCs w:val="0"/>
          <w:sz w:val="22"/>
          <w:szCs w:val="22"/>
        </w:rPr>
        <w:t>Nowelizacja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w </w:t>
      </w:r>
      <w:proofErr w:type="spellStart"/>
      <w:r>
        <w:rPr>
          <w:rStyle w:val="BrakA"/>
          <w:i w:val="0"/>
          <w:iCs w:val="0"/>
          <w:sz w:val="22"/>
          <w:szCs w:val="22"/>
        </w:rPr>
        <w:t>wielu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obszarach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idzie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dalej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niż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dyrektywa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NIS 2, </w:t>
      </w:r>
      <w:proofErr w:type="spellStart"/>
      <w:r>
        <w:rPr>
          <w:rStyle w:val="BrakA"/>
          <w:i w:val="0"/>
          <w:iCs w:val="0"/>
          <w:sz w:val="22"/>
          <w:szCs w:val="22"/>
        </w:rPr>
        <w:t>wprowadzając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rozwiązania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fakultatywne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na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poziomie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unijnym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. </w:t>
      </w:r>
      <w:proofErr w:type="spellStart"/>
      <w:r>
        <w:rPr>
          <w:rStyle w:val="BrakA"/>
          <w:i w:val="0"/>
          <w:iCs w:val="0"/>
          <w:sz w:val="22"/>
          <w:szCs w:val="22"/>
        </w:rPr>
        <w:t>Może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to </w:t>
      </w:r>
      <w:proofErr w:type="spellStart"/>
      <w:r>
        <w:rPr>
          <w:rStyle w:val="BrakA"/>
          <w:i w:val="0"/>
          <w:iCs w:val="0"/>
          <w:sz w:val="22"/>
          <w:szCs w:val="22"/>
        </w:rPr>
        <w:t>prowadzić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do </w:t>
      </w:r>
      <w:proofErr w:type="spellStart"/>
      <w:r>
        <w:rPr>
          <w:rStyle w:val="BrakA"/>
          <w:i w:val="0"/>
          <w:iCs w:val="0"/>
          <w:sz w:val="22"/>
          <w:szCs w:val="22"/>
        </w:rPr>
        <w:t>osłabienia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konkurencyjności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polskich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firm i </w:t>
      </w:r>
      <w:proofErr w:type="spellStart"/>
      <w:r>
        <w:rPr>
          <w:rStyle w:val="BrakA"/>
          <w:i w:val="0"/>
          <w:iCs w:val="0"/>
          <w:sz w:val="22"/>
          <w:szCs w:val="22"/>
        </w:rPr>
        <w:t>fragmentacji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rynku</w:t>
      </w:r>
      <w:proofErr w:type="spellEnd"/>
      <w:r>
        <w:rPr>
          <w:rStyle w:val="BrakA"/>
          <w:i w:val="0"/>
          <w:iCs w:val="0"/>
          <w:sz w:val="22"/>
          <w:szCs w:val="22"/>
        </w:rPr>
        <w:t>.</w:t>
      </w:r>
    </w:p>
    <w:p w14:paraId="2774F31C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4C9F3710" w14:textId="77777777" w:rsidR="009923F5" w:rsidRDefault="00000000">
      <w:pPr>
        <w:numPr>
          <w:ilvl w:val="0"/>
          <w:numId w:val="2"/>
        </w:num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lastRenderedPageBreak/>
        <w:t xml:space="preserve">Brak </w:t>
      </w:r>
      <w:proofErr w:type="spellStart"/>
      <w:r>
        <w:rPr>
          <w:b/>
          <w:bCs/>
          <w:i w:val="0"/>
          <w:iCs w:val="0"/>
          <w:sz w:val="22"/>
          <w:szCs w:val="22"/>
        </w:rPr>
        <w:t>proporcjonalności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obowiązków</w:t>
      </w:r>
      <w:proofErr w:type="spellEnd"/>
      <w:r>
        <w:rPr>
          <w:rStyle w:val="BrakA"/>
          <w:i w:val="0"/>
          <w:iCs w:val="0"/>
          <w:sz w:val="22"/>
          <w:szCs w:val="22"/>
        </w:rPr>
        <w:br/>
        <w:t xml:space="preserve">Projekt </w:t>
      </w:r>
      <w:proofErr w:type="spellStart"/>
      <w:r>
        <w:rPr>
          <w:rStyle w:val="BrakA"/>
          <w:i w:val="0"/>
          <w:iCs w:val="0"/>
          <w:sz w:val="22"/>
          <w:szCs w:val="22"/>
        </w:rPr>
        <w:t>obejmuje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bardzo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szeroki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katalog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sektorów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, </w:t>
      </w:r>
      <w:proofErr w:type="spellStart"/>
      <w:r>
        <w:rPr>
          <w:rStyle w:val="BrakA"/>
          <w:i w:val="0"/>
          <w:iCs w:val="0"/>
          <w:sz w:val="22"/>
          <w:szCs w:val="22"/>
        </w:rPr>
        <w:t>nie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różnicując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wystarczająco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wymogów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w </w:t>
      </w:r>
      <w:proofErr w:type="spellStart"/>
      <w:r>
        <w:rPr>
          <w:rStyle w:val="BrakA"/>
          <w:i w:val="0"/>
          <w:iCs w:val="0"/>
          <w:sz w:val="22"/>
          <w:szCs w:val="22"/>
        </w:rPr>
        <w:t>zależności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od </w:t>
      </w:r>
      <w:proofErr w:type="spellStart"/>
      <w:r>
        <w:rPr>
          <w:rStyle w:val="BrakA"/>
          <w:i w:val="0"/>
          <w:iCs w:val="0"/>
          <w:sz w:val="22"/>
          <w:szCs w:val="22"/>
        </w:rPr>
        <w:t>skali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działalności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, </w:t>
      </w:r>
      <w:proofErr w:type="spellStart"/>
      <w:r>
        <w:rPr>
          <w:rStyle w:val="BrakA"/>
          <w:i w:val="0"/>
          <w:iCs w:val="0"/>
          <w:sz w:val="22"/>
          <w:szCs w:val="22"/>
        </w:rPr>
        <w:t>krytyczności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usług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i </w:t>
      </w:r>
      <w:proofErr w:type="spellStart"/>
      <w:r>
        <w:rPr>
          <w:rStyle w:val="BrakA"/>
          <w:i w:val="0"/>
          <w:iCs w:val="0"/>
          <w:sz w:val="22"/>
          <w:szCs w:val="22"/>
        </w:rPr>
        <w:t>faktycznego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ryzyka</w:t>
      </w:r>
      <w:proofErr w:type="spellEnd"/>
      <w:r>
        <w:rPr>
          <w:rStyle w:val="BrakA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BrakA"/>
          <w:i w:val="0"/>
          <w:iCs w:val="0"/>
          <w:sz w:val="22"/>
          <w:szCs w:val="22"/>
        </w:rPr>
        <w:t>systemowego</w:t>
      </w:r>
      <w:proofErr w:type="spellEnd"/>
      <w:r>
        <w:rPr>
          <w:rStyle w:val="BrakA"/>
          <w:i w:val="0"/>
          <w:iCs w:val="0"/>
          <w:sz w:val="22"/>
          <w:szCs w:val="22"/>
        </w:rPr>
        <w:t>.</w:t>
      </w:r>
    </w:p>
    <w:p w14:paraId="13103C01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70DAA802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- </w:t>
      </w:r>
      <w:proofErr w:type="spellStart"/>
      <w:r>
        <w:rPr>
          <w:b/>
          <w:bCs/>
          <w:i w:val="0"/>
          <w:iCs w:val="0"/>
          <w:sz w:val="22"/>
          <w:szCs w:val="22"/>
        </w:rPr>
        <w:t>Kontrowersje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wokół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dostawców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wysokiego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ryzyka</w:t>
      </w:r>
      <w:proofErr w:type="spellEnd"/>
      <w:r>
        <w:rPr>
          <w:i w:val="0"/>
          <w:iCs w:val="0"/>
          <w:sz w:val="22"/>
          <w:szCs w:val="22"/>
        </w:rPr>
        <w:br/>
      </w:r>
      <w:proofErr w:type="spellStart"/>
      <w:r>
        <w:rPr>
          <w:i w:val="0"/>
          <w:iCs w:val="0"/>
          <w:sz w:val="22"/>
          <w:szCs w:val="22"/>
        </w:rPr>
        <w:t>Proponowane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mechanizmy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mogą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wymuszać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ingerencję</w:t>
      </w:r>
      <w:proofErr w:type="spellEnd"/>
      <w:r>
        <w:rPr>
          <w:i w:val="0"/>
          <w:iCs w:val="0"/>
          <w:sz w:val="22"/>
          <w:szCs w:val="22"/>
        </w:rPr>
        <w:t xml:space="preserve"> w </w:t>
      </w:r>
      <w:proofErr w:type="spellStart"/>
      <w:r>
        <w:rPr>
          <w:i w:val="0"/>
          <w:iCs w:val="0"/>
          <w:sz w:val="22"/>
          <w:szCs w:val="22"/>
        </w:rPr>
        <w:t>istniejącą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infrastrukturę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techniczną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przedsiębiorców</w:t>
      </w:r>
      <w:proofErr w:type="spellEnd"/>
      <w:r>
        <w:rPr>
          <w:i w:val="0"/>
          <w:iCs w:val="0"/>
          <w:sz w:val="22"/>
          <w:szCs w:val="22"/>
        </w:rPr>
        <w:t xml:space="preserve">, bez </w:t>
      </w:r>
      <w:proofErr w:type="spellStart"/>
      <w:r>
        <w:rPr>
          <w:i w:val="0"/>
          <w:iCs w:val="0"/>
          <w:sz w:val="22"/>
          <w:szCs w:val="22"/>
        </w:rPr>
        <w:t>odpowiednich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okresów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przejściowych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instrumentów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kompensacyjnych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0F6C5708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4A537C96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-  </w:t>
      </w:r>
      <w:proofErr w:type="spellStart"/>
      <w:r>
        <w:rPr>
          <w:b/>
          <w:bCs/>
          <w:i w:val="0"/>
          <w:iCs w:val="0"/>
          <w:sz w:val="22"/>
          <w:szCs w:val="22"/>
        </w:rPr>
        <w:t>Zbyt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duża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uznaniowość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administracji</w:t>
      </w:r>
      <w:proofErr w:type="spellEnd"/>
      <w:r>
        <w:rPr>
          <w:i w:val="0"/>
          <w:iCs w:val="0"/>
          <w:sz w:val="22"/>
          <w:szCs w:val="22"/>
        </w:rPr>
        <w:br/>
        <w:t xml:space="preserve">Projekt </w:t>
      </w:r>
      <w:proofErr w:type="spellStart"/>
      <w:r>
        <w:rPr>
          <w:i w:val="0"/>
          <w:iCs w:val="0"/>
          <w:sz w:val="22"/>
          <w:szCs w:val="22"/>
        </w:rPr>
        <w:t>przyznaje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organom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administracji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szerokie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kompetencje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decyzyjne</w:t>
      </w:r>
      <w:proofErr w:type="spellEnd"/>
      <w:r>
        <w:rPr>
          <w:i w:val="0"/>
          <w:iCs w:val="0"/>
          <w:sz w:val="22"/>
          <w:szCs w:val="22"/>
        </w:rPr>
        <w:t xml:space="preserve"> o </w:t>
      </w:r>
      <w:proofErr w:type="spellStart"/>
      <w:r>
        <w:rPr>
          <w:i w:val="0"/>
          <w:iCs w:val="0"/>
          <w:sz w:val="22"/>
          <w:szCs w:val="22"/>
        </w:rPr>
        <w:t>istotnych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skutkach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gospodarczych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przy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braku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precyzyjnych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kryteriów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wystarczających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gwarancji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proceduralnych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7FDF668C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386E03D1" w14:textId="77777777" w:rsidR="009923F5" w:rsidRDefault="00000000">
      <w:pPr>
        <w:spacing w:line="276" w:lineRule="auto"/>
        <w:jc w:val="left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Apel o dialog </w:t>
      </w:r>
      <w:proofErr w:type="spellStart"/>
      <w:r>
        <w:rPr>
          <w:b/>
          <w:bCs/>
          <w:i w:val="0"/>
          <w:iCs w:val="0"/>
          <w:sz w:val="22"/>
          <w:szCs w:val="22"/>
        </w:rPr>
        <w:t>zamiast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faktów</w:t>
      </w:r>
      <w:proofErr w:type="spellEnd"/>
      <w:r>
        <w:rPr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b/>
          <w:bCs/>
          <w:i w:val="0"/>
          <w:iCs w:val="0"/>
          <w:sz w:val="22"/>
          <w:szCs w:val="22"/>
        </w:rPr>
        <w:t>dokonanych</w:t>
      </w:r>
      <w:proofErr w:type="spellEnd"/>
    </w:p>
    <w:p w14:paraId="6F95459C" w14:textId="77777777" w:rsidR="009923F5" w:rsidRDefault="009923F5">
      <w:pPr>
        <w:spacing w:line="276" w:lineRule="auto"/>
        <w:jc w:val="left"/>
        <w:rPr>
          <w:b/>
          <w:bCs/>
          <w:i w:val="0"/>
          <w:iCs w:val="0"/>
          <w:sz w:val="22"/>
          <w:szCs w:val="22"/>
        </w:rPr>
      </w:pPr>
    </w:p>
    <w:p w14:paraId="4C9C65F6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BCC </w:t>
      </w:r>
      <w:proofErr w:type="spellStart"/>
      <w:r>
        <w:rPr>
          <w:i w:val="0"/>
          <w:iCs w:val="0"/>
          <w:sz w:val="22"/>
          <w:szCs w:val="22"/>
        </w:rPr>
        <w:t>podkreśla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że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celem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Białej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Księgi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nie</w:t>
      </w:r>
      <w:proofErr w:type="spellEnd"/>
      <w:r>
        <w:rPr>
          <w:i w:val="0"/>
          <w:iCs w:val="0"/>
          <w:sz w:val="22"/>
          <w:szCs w:val="22"/>
        </w:rPr>
        <w:t xml:space="preserve"> jest </w:t>
      </w:r>
      <w:proofErr w:type="spellStart"/>
      <w:r>
        <w:rPr>
          <w:i w:val="0"/>
          <w:iCs w:val="0"/>
          <w:sz w:val="22"/>
          <w:szCs w:val="22"/>
        </w:rPr>
        <w:t>blokowanie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procesu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legislacyjnego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lecz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stworzenie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podstaw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dla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regulacji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trwałej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skutecznej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odpornej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dynamiczne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zmiany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technologiczne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2700649D" w14:textId="77777777" w:rsidR="009923F5" w:rsidRDefault="00000000">
      <w:pPr>
        <w:spacing w:line="276" w:lineRule="auto"/>
        <w:jc w:val="lef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– </w:t>
      </w:r>
      <w:proofErr w:type="spellStart"/>
      <w:r>
        <w:rPr>
          <w:sz w:val="22"/>
          <w:szCs w:val="22"/>
        </w:rPr>
        <w:t>Cyberbezpieczeństwo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obszarem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który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skutecznie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regulować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jednorazowym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prawnym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Wymaga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ciągłej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analizy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ryzyka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dialogu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wykorzystania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wiedzy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branżowej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wskazuje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postulując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większą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rolę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instrumentów</w:t>
      </w:r>
      <w:proofErr w:type="spellEnd"/>
      <w:r>
        <w:rPr>
          <w:sz w:val="22"/>
          <w:szCs w:val="22"/>
        </w:rPr>
        <w:t xml:space="preserve"> soft law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zespołów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sektorowych</w:t>
      </w:r>
      <w:proofErr w:type="spellEnd"/>
      <w:r>
        <w:rPr>
          <w:sz w:val="22"/>
          <w:szCs w:val="22"/>
        </w:rPr>
        <w:t xml:space="preserve"> CSIRT.</w:t>
      </w:r>
    </w:p>
    <w:p w14:paraId="55209122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5D6CA4BC" w14:textId="77777777" w:rsidR="009923F5" w:rsidRDefault="00000000">
      <w:pPr>
        <w:spacing w:line="276" w:lineRule="auto"/>
        <w:jc w:val="left"/>
        <w:rPr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Business Centre Club </w:t>
      </w:r>
      <w:proofErr w:type="spellStart"/>
      <w:r>
        <w:rPr>
          <w:i w:val="0"/>
          <w:iCs w:val="0"/>
          <w:sz w:val="22"/>
          <w:szCs w:val="22"/>
        </w:rPr>
        <w:t>deklaruje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gotowość</w:t>
      </w:r>
      <w:proofErr w:type="spellEnd"/>
      <w:r>
        <w:rPr>
          <w:i w:val="0"/>
          <w:iCs w:val="0"/>
          <w:sz w:val="22"/>
          <w:szCs w:val="22"/>
        </w:rPr>
        <w:t xml:space="preserve"> do </w:t>
      </w:r>
      <w:proofErr w:type="spellStart"/>
      <w:r>
        <w:rPr>
          <w:i w:val="0"/>
          <w:iCs w:val="0"/>
          <w:sz w:val="22"/>
          <w:szCs w:val="22"/>
        </w:rPr>
        <w:t>dalszego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udziału</w:t>
      </w:r>
      <w:proofErr w:type="spellEnd"/>
      <w:r>
        <w:rPr>
          <w:i w:val="0"/>
          <w:iCs w:val="0"/>
          <w:sz w:val="22"/>
          <w:szCs w:val="22"/>
        </w:rPr>
        <w:t xml:space="preserve"> w </w:t>
      </w:r>
      <w:proofErr w:type="spellStart"/>
      <w:r>
        <w:rPr>
          <w:i w:val="0"/>
          <w:iCs w:val="0"/>
          <w:sz w:val="22"/>
          <w:szCs w:val="22"/>
        </w:rPr>
        <w:t>pracach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legislacyjnych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apeluje</w:t>
      </w:r>
      <w:proofErr w:type="spellEnd"/>
      <w:r>
        <w:rPr>
          <w:i w:val="0"/>
          <w:iCs w:val="0"/>
          <w:sz w:val="22"/>
          <w:szCs w:val="22"/>
        </w:rPr>
        <w:t xml:space="preserve"> o </w:t>
      </w:r>
      <w:proofErr w:type="spellStart"/>
      <w:r>
        <w:rPr>
          <w:i w:val="0"/>
          <w:iCs w:val="0"/>
          <w:sz w:val="22"/>
          <w:szCs w:val="22"/>
        </w:rPr>
        <w:t>zapewnienie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czasu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oraz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przestrzeni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na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transparentny</w:t>
      </w:r>
      <w:proofErr w:type="spellEnd"/>
      <w:r>
        <w:rPr>
          <w:i w:val="0"/>
          <w:iCs w:val="0"/>
          <w:sz w:val="22"/>
          <w:szCs w:val="22"/>
        </w:rPr>
        <w:t xml:space="preserve"> dialog </w:t>
      </w:r>
      <w:proofErr w:type="spellStart"/>
      <w:r>
        <w:rPr>
          <w:i w:val="0"/>
          <w:iCs w:val="0"/>
          <w:sz w:val="22"/>
          <w:szCs w:val="22"/>
        </w:rPr>
        <w:t>między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administracją</w:t>
      </w:r>
      <w:proofErr w:type="spellEnd"/>
      <w:r>
        <w:rPr>
          <w:i w:val="0"/>
          <w:iCs w:val="0"/>
          <w:sz w:val="22"/>
          <w:szCs w:val="22"/>
        </w:rPr>
        <w:t xml:space="preserve"> </w:t>
      </w:r>
      <w:proofErr w:type="spellStart"/>
      <w:r>
        <w:rPr>
          <w:i w:val="0"/>
          <w:iCs w:val="0"/>
          <w:sz w:val="22"/>
          <w:szCs w:val="22"/>
        </w:rPr>
        <w:t>publiczną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ustawodawcą</w:t>
      </w:r>
      <w:proofErr w:type="spellEnd"/>
      <w:r>
        <w:rPr>
          <w:i w:val="0"/>
          <w:iCs w:val="0"/>
          <w:sz w:val="22"/>
          <w:szCs w:val="22"/>
        </w:rPr>
        <w:t xml:space="preserve">, </w:t>
      </w:r>
      <w:proofErr w:type="spellStart"/>
      <w:r>
        <w:rPr>
          <w:i w:val="0"/>
          <w:iCs w:val="0"/>
          <w:sz w:val="22"/>
          <w:szCs w:val="22"/>
        </w:rPr>
        <w:t>ekspertami</w:t>
      </w:r>
      <w:proofErr w:type="spellEnd"/>
      <w:r>
        <w:rPr>
          <w:i w:val="0"/>
          <w:iCs w:val="0"/>
          <w:sz w:val="22"/>
          <w:szCs w:val="22"/>
        </w:rPr>
        <w:t xml:space="preserve"> i </w:t>
      </w:r>
      <w:proofErr w:type="spellStart"/>
      <w:r>
        <w:rPr>
          <w:i w:val="0"/>
          <w:iCs w:val="0"/>
          <w:sz w:val="22"/>
          <w:szCs w:val="22"/>
        </w:rPr>
        <w:t>przedsiębiorcami</w:t>
      </w:r>
      <w:proofErr w:type="spellEnd"/>
      <w:r>
        <w:rPr>
          <w:i w:val="0"/>
          <w:iCs w:val="0"/>
          <w:sz w:val="22"/>
          <w:szCs w:val="22"/>
        </w:rPr>
        <w:t>.</w:t>
      </w:r>
    </w:p>
    <w:p w14:paraId="2BF8A2E7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7C8E5341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7B1CCE8F" w14:textId="77777777" w:rsidR="009923F5" w:rsidRDefault="009923F5">
      <w:pPr>
        <w:spacing w:line="276" w:lineRule="auto"/>
        <w:jc w:val="left"/>
        <w:rPr>
          <w:i w:val="0"/>
          <w:iCs w:val="0"/>
          <w:sz w:val="22"/>
          <w:szCs w:val="22"/>
        </w:rPr>
      </w:pPr>
    </w:p>
    <w:p w14:paraId="1B2D3E29" w14:textId="77777777" w:rsidR="009923F5" w:rsidRDefault="00992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rPr>
          <w:b/>
          <w:bCs/>
          <w:i w:val="0"/>
          <w:iCs w:val="0"/>
          <w:sz w:val="22"/>
          <w:szCs w:val="22"/>
        </w:rPr>
      </w:pPr>
    </w:p>
    <w:p w14:paraId="31B66843" w14:textId="77777777" w:rsidR="009923F5" w:rsidRDefault="00992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rPr>
          <w:b/>
          <w:bCs/>
          <w:i w:val="0"/>
          <w:iCs w:val="0"/>
          <w:sz w:val="22"/>
          <w:szCs w:val="22"/>
        </w:rPr>
      </w:pPr>
    </w:p>
    <w:p w14:paraId="3DCAA31D" w14:textId="77777777" w:rsidR="009923F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rPr>
          <w:b/>
          <w:bCs/>
          <w:i w:val="0"/>
          <w:iCs w:val="0"/>
          <w:sz w:val="18"/>
          <w:szCs w:val="18"/>
          <w:shd w:val="clear" w:color="auto" w:fill="FFFFFF"/>
        </w:rPr>
      </w:pPr>
      <w:proofErr w:type="spellStart"/>
      <w:r>
        <w:rPr>
          <w:b/>
          <w:bCs/>
          <w:i w:val="0"/>
          <w:iCs w:val="0"/>
          <w:sz w:val="18"/>
          <w:szCs w:val="18"/>
          <w:shd w:val="clear" w:color="auto" w:fill="FFFFFF"/>
        </w:rPr>
        <w:t>Kontakt</w:t>
      </w:r>
      <w:proofErr w:type="spellEnd"/>
      <w:r>
        <w:rPr>
          <w:b/>
          <w:bCs/>
          <w:i w:val="0"/>
          <w:iCs w:val="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b/>
          <w:bCs/>
          <w:i w:val="0"/>
          <w:iCs w:val="0"/>
          <w:sz w:val="18"/>
          <w:szCs w:val="18"/>
          <w:shd w:val="clear" w:color="auto" w:fill="FFFFFF"/>
        </w:rPr>
        <w:t>dla</w:t>
      </w:r>
      <w:proofErr w:type="spellEnd"/>
      <w:r>
        <w:rPr>
          <w:b/>
          <w:bCs/>
          <w:i w:val="0"/>
          <w:iCs w:val="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b/>
          <w:bCs/>
          <w:i w:val="0"/>
          <w:iCs w:val="0"/>
          <w:sz w:val="18"/>
          <w:szCs w:val="18"/>
          <w:shd w:val="clear" w:color="auto" w:fill="FFFFFF"/>
        </w:rPr>
        <w:t>mediów</w:t>
      </w:r>
      <w:proofErr w:type="spellEnd"/>
      <w:r>
        <w:rPr>
          <w:b/>
          <w:bCs/>
          <w:i w:val="0"/>
          <w:iCs w:val="0"/>
          <w:sz w:val="18"/>
          <w:szCs w:val="18"/>
          <w:shd w:val="clear" w:color="auto" w:fill="FFFFFF"/>
        </w:rPr>
        <w:t>:</w:t>
      </w:r>
    </w:p>
    <w:p w14:paraId="21E06209" w14:textId="77777777" w:rsidR="009923F5" w:rsidRDefault="00000000">
      <w:pPr>
        <w:numPr>
          <w:ilvl w:val="0"/>
          <w:numId w:val="4"/>
        </w:numPr>
        <w:spacing w:line="264" w:lineRule="auto"/>
        <w:rPr>
          <w:rFonts w:ascii="Arial Unicode MS" w:hAnsi="Arial Unicode MS"/>
          <w:i w:val="0"/>
          <w:iCs w:val="0"/>
          <w:sz w:val="18"/>
          <w:szCs w:val="18"/>
        </w:rPr>
      </w:pPr>
      <w:proofErr w:type="spellStart"/>
      <w:r>
        <w:rPr>
          <w:i w:val="0"/>
          <w:iCs w:val="0"/>
          <w:sz w:val="18"/>
          <w:szCs w:val="18"/>
          <w:shd w:val="clear" w:color="auto" w:fill="FFFFFF"/>
        </w:rPr>
        <w:t>Agencja</w:t>
      </w:r>
      <w:proofErr w:type="spellEnd"/>
      <w:r>
        <w:rPr>
          <w:i w:val="0"/>
          <w:iCs w:val="0"/>
          <w:sz w:val="18"/>
          <w:szCs w:val="18"/>
          <w:shd w:val="clear" w:color="auto" w:fill="FFFFFF"/>
        </w:rPr>
        <w:t xml:space="preserve"> Open Minded Group: </w:t>
      </w:r>
      <w:hyperlink r:id="rId7" w:history="1">
        <w:r>
          <w:rPr>
            <w:rStyle w:val="Hyperlink0"/>
            <w:i w:val="0"/>
            <w:iCs w:val="0"/>
            <w:sz w:val="18"/>
            <w:szCs w:val="18"/>
          </w:rPr>
          <w:t>pr@openmindedgroup.pl</w:t>
        </w:r>
      </w:hyperlink>
    </w:p>
    <w:p w14:paraId="381DA639" w14:textId="77777777" w:rsidR="009923F5" w:rsidRDefault="00000000">
      <w:pPr>
        <w:numPr>
          <w:ilvl w:val="0"/>
          <w:numId w:val="4"/>
        </w:numPr>
        <w:spacing w:line="264" w:lineRule="auto"/>
        <w:rPr>
          <w:rFonts w:ascii="Arial Unicode MS" w:hAnsi="Arial Unicode MS"/>
          <w:i w:val="0"/>
          <w:iCs w:val="0"/>
          <w:sz w:val="18"/>
          <w:szCs w:val="18"/>
        </w:rPr>
      </w:pPr>
      <w:r>
        <w:rPr>
          <w:rStyle w:val="BrakA"/>
          <w:rFonts w:ascii="Arial Unicode MS" w:hAnsi="Arial Unicode MS"/>
          <w:i w:val="0"/>
          <w:iCs w:val="0"/>
          <w:sz w:val="18"/>
          <w:szCs w:val="18"/>
        </w:rPr>
        <w:t xml:space="preserve">BCC: </w:t>
      </w:r>
      <w:r>
        <w:rPr>
          <w:rStyle w:val="Brak"/>
          <w:rFonts w:ascii="Helvetica Neue" w:hAnsi="Helvetica Neue"/>
          <w:i w:val="0"/>
          <w:iCs w:val="0"/>
          <w:sz w:val="18"/>
          <w:szCs w:val="18"/>
        </w:rPr>
        <w:t xml:space="preserve">Ewelina Rozpara </w:t>
      </w:r>
      <w:hyperlink r:id="rId8" w:history="1">
        <w:r>
          <w:rPr>
            <w:rStyle w:val="Hyperlink1"/>
            <w:i w:val="0"/>
            <w:iCs w:val="0"/>
            <w:sz w:val="18"/>
            <w:szCs w:val="18"/>
          </w:rPr>
          <w:t>ewelina.rozpara@bcc.pl</w:t>
        </w:r>
      </w:hyperlink>
      <w:r>
        <w:rPr>
          <w:rStyle w:val="Brak"/>
          <w:rFonts w:ascii="Helvetica Neue" w:hAnsi="Helvetica Neue"/>
          <w:i w:val="0"/>
          <w:iCs w:val="0"/>
          <w:sz w:val="18"/>
          <w:szCs w:val="18"/>
        </w:rPr>
        <w:t xml:space="preserve"> </w:t>
      </w:r>
    </w:p>
    <w:p w14:paraId="647E9FF6" w14:textId="77777777" w:rsidR="009923F5" w:rsidRDefault="00992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rPr>
          <w:rStyle w:val="BrakA"/>
        </w:rPr>
      </w:pPr>
    </w:p>
    <w:p w14:paraId="68CB969A" w14:textId="77777777" w:rsidR="009923F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4" w:lineRule="auto"/>
        <w:rPr>
          <w:rStyle w:val="Brak"/>
          <w:i w:val="0"/>
          <w:iCs w:val="0"/>
          <w:sz w:val="18"/>
          <w:szCs w:val="18"/>
        </w:rPr>
      </w:pPr>
      <w:r>
        <w:rPr>
          <w:rStyle w:val="BrakA"/>
          <w:noProof/>
        </w:rPr>
        <w:drawing>
          <wp:anchor distT="57150" distB="57150" distL="57150" distR="57150" simplePos="0" relativeHeight="251659264" behindDoc="0" locked="0" layoutInCell="1" allowOverlap="1" wp14:anchorId="03E611C4" wp14:editId="2C4441B4">
            <wp:simplePos x="0" y="0"/>
            <wp:positionH relativeFrom="page">
              <wp:posOffset>732761</wp:posOffset>
            </wp:positionH>
            <wp:positionV relativeFrom="line">
              <wp:posOffset>202052</wp:posOffset>
            </wp:positionV>
            <wp:extent cx="504247" cy="504247"/>
            <wp:effectExtent l="0" t="0" r="0" b="0"/>
            <wp:wrapSquare wrapText="bothSides" distT="57150" distB="57150" distL="57150" distR="57150"/>
            <wp:docPr id="1073741826" name="officeArt object" descr="Obraz zawierający wzór, kwadrat, Symetria, Prostoką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zawierający wzór, kwadrat, Symetria, ProstokątOpis wygenerowany automatycznie" descr="Obraz zawierający wzór, kwadrat, Symetria, ProstokątOpis wygenerowany automatyczni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247" cy="5042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rak"/>
          <w:i w:val="0"/>
          <w:iCs w:val="0"/>
          <w:sz w:val="18"/>
          <w:szCs w:val="18"/>
        </w:rPr>
        <w:t xml:space="preserve"> </w:t>
      </w:r>
    </w:p>
    <w:p w14:paraId="655D83E9" w14:textId="77777777" w:rsidR="009923F5" w:rsidRDefault="009923F5">
      <w:pPr>
        <w:pBdr>
          <w:top w:val="single" w:sz="4" w:space="0" w:color="000000"/>
        </w:pBdr>
        <w:spacing w:line="276" w:lineRule="auto"/>
        <w:rPr>
          <w:rStyle w:val="Brak"/>
          <w:i w:val="0"/>
          <w:iCs w:val="0"/>
          <w:sz w:val="16"/>
          <w:szCs w:val="16"/>
        </w:rPr>
      </w:pPr>
    </w:p>
    <w:p w14:paraId="4F9A660C" w14:textId="77777777" w:rsidR="009923F5" w:rsidRDefault="00000000">
      <w:pPr>
        <w:spacing w:line="276" w:lineRule="auto"/>
        <w:rPr>
          <w:rStyle w:val="Brak"/>
          <w:i w:val="0"/>
          <w:iCs w:val="0"/>
          <w:sz w:val="14"/>
          <w:szCs w:val="14"/>
        </w:rPr>
      </w:pPr>
      <w:r>
        <w:rPr>
          <w:rStyle w:val="Brak"/>
          <w:i w:val="0"/>
          <w:iCs w:val="0"/>
          <w:sz w:val="14"/>
          <w:szCs w:val="14"/>
        </w:rPr>
        <w:t xml:space="preserve">Business Centre Club to </w:t>
      </w:r>
      <w:proofErr w:type="spellStart"/>
      <w:r>
        <w:rPr>
          <w:rStyle w:val="Brak"/>
          <w:i w:val="0"/>
          <w:iCs w:val="0"/>
          <w:sz w:val="14"/>
          <w:szCs w:val="14"/>
        </w:rPr>
        <w:t>największa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w </w:t>
      </w:r>
      <w:proofErr w:type="spellStart"/>
      <w:r>
        <w:rPr>
          <w:rStyle w:val="Brak"/>
          <w:i w:val="0"/>
          <w:iCs w:val="0"/>
          <w:sz w:val="14"/>
          <w:szCs w:val="14"/>
        </w:rPr>
        <w:t>kraju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ustawowa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organizacja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indywidualnych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pracodawców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. </w:t>
      </w:r>
      <w:proofErr w:type="spellStart"/>
      <w:r>
        <w:rPr>
          <w:rStyle w:val="Brak"/>
          <w:i w:val="0"/>
          <w:iCs w:val="0"/>
          <w:sz w:val="14"/>
          <w:szCs w:val="14"/>
        </w:rPr>
        <w:t>Członkowie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Klubu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zatrudniają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ponad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400 </w:t>
      </w:r>
      <w:proofErr w:type="spellStart"/>
      <w:r>
        <w:rPr>
          <w:rStyle w:val="Brak"/>
          <w:i w:val="0"/>
          <w:iCs w:val="0"/>
          <w:sz w:val="14"/>
          <w:szCs w:val="14"/>
        </w:rPr>
        <w:t>tys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. </w:t>
      </w:r>
      <w:proofErr w:type="spellStart"/>
      <w:r>
        <w:rPr>
          <w:rStyle w:val="Brak"/>
          <w:i w:val="0"/>
          <w:iCs w:val="0"/>
          <w:sz w:val="14"/>
          <w:szCs w:val="14"/>
        </w:rPr>
        <w:t>pracowników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przychody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firm to </w:t>
      </w:r>
      <w:proofErr w:type="spellStart"/>
      <w:r>
        <w:rPr>
          <w:rStyle w:val="Brak"/>
          <w:i w:val="0"/>
          <w:iCs w:val="0"/>
          <w:sz w:val="14"/>
          <w:szCs w:val="14"/>
        </w:rPr>
        <w:t>ponad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200 </w:t>
      </w:r>
      <w:proofErr w:type="spellStart"/>
      <w:r>
        <w:rPr>
          <w:rStyle w:val="Brak"/>
          <w:i w:val="0"/>
          <w:iCs w:val="0"/>
          <w:sz w:val="14"/>
          <w:szCs w:val="14"/>
        </w:rPr>
        <w:t>miliardów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złotych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a </w:t>
      </w:r>
      <w:proofErr w:type="spellStart"/>
      <w:r>
        <w:rPr>
          <w:rStyle w:val="Brak"/>
          <w:i w:val="0"/>
          <w:iCs w:val="0"/>
          <w:sz w:val="14"/>
          <w:szCs w:val="14"/>
        </w:rPr>
        <w:t>siedziby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rozlokowane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są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w 250 </w:t>
      </w:r>
      <w:proofErr w:type="spellStart"/>
      <w:r>
        <w:rPr>
          <w:rStyle w:val="Brak"/>
          <w:i w:val="0"/>
          <w:iCs w:val="0"/>
          <w:sz w:val="14"/>
          <w:szCs w:val="14"/>
        </w:rPr>
        <w:t>miastach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. Na </w:t>
      </w:r>
      <w:proofErr w:type="spellStart"/>
      <w:r>
        <w:rPr>
          <w:rStyle w:val="Brak"/>
          <w:i w:val="0"/>
          <w:iCs w:val="0"/>
          <w:sz w:val="14"/>
          <w:szCs w:val="14"/>
        </w:rPr>
        <w:t>terenie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Polski </w:t>
      </w:r>
      <w:proofErr w:type="spellStart"/>
      <w:r>
        <w:rPr>
          <w:rStyle w:val="Brak"/>
          <w:i w:val="0"/>
          <w:iCs w:val="0"/>
          <w:sz w:val="14"/>
          <w:szCs w:val="14"/>
        </w:rPr>
        <w:t>działają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22 </w:t>
      </w:r>
      <w:proofErr w:type="spellStart"/>
      <w:r>
        <w:rPr>
          <w:rStyle w:val="Brak"/>
          <w:i w:val="0"/>
          <w:iCs w:val="0"/>
          <w:sz w:val="14"/>
          <w:szCs w:val="14"/>
        </w:rPr>
        <w:t>loże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regionalne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. Do BCC </w:t>
      </w:r>
      <w:proofErr w:type="spellStart"/>
      <w:r>
        <w:rPr>
          <w:rStyle w:val="Brak"/>
          <w:i w:val="0"/>
          <w:iCs w:val="0"/>
          <w:sz w:val="14"/>
          <w:szCs w:val="14"/>
        </w:rPr>
        <w:t>należą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przedstawiciele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wszystkich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branż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międzynarodowe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korporacje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instytucje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finansowe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i </w:t>
      </w:r>
      <w:proofErr w:type="spellStart"/>
      <w:r>
        <w:rPr>
          <w:rStyle w:val="Brak"/>
          <w:i w:val="0"/>
          <w:iCs w:val="0"/>
          <w:sz w:val="14"/>
          <w:szCs w:val="14"/>
        </w:rPr>
        <w:t>ubezpieczeniowe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firmy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telekomunikacyjne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najwięksi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polscy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producenci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uczelnie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wyższe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koncerny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wydawnicze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i </w:t>
      </w:r>
      <w:proofErr w:type="spellStart"/>
      <w:r>
        <w:rPr>
          <w:rStyle w:val="Brak"/>
          <w:i w:val="0"/>
          <w:iCs w:val="0"/>
          <w:sz w:val="14"/>
          <w:szCs w:val="14"/>
        </w:rPr>
        <w:t>znane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kancelarie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prawne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. </w:t>
      </w:r>
      <w:proofErr w:type="spellStart"/>
      <w:r>
        <w:rPr>
          <w:rStyle w:val="Brak"/>
          <w:i w:val="0"/>
          <w:iCs w:val="0"/>
          <w:sz w:val="14"/>
          <w:szCs w:val="14"/>
        </w:rPr>
        <w:t>Członkami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BCC – </w:t>
      </w:r>
      <w:proofErr w:type="spellStart"/>
      <w:r>
        <w:rPr>
          <w:rStyle w:val="Brak"/>
          <w:i w:val="0"/>
          <w:iCs w:val="0"/>
          <w:sz w:val="14"/>
          <w:szCs w:val="14"/>
        </w:rPr>
        <w:t>klubu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przedsiębiorców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są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także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prawnicy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dziennikarze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naukowcy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wydawcy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lekarze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, </w:t>
      </w:r>
      <w:proofErr w:type="spellStart"/>
      <w:r>
        <w:rPr>
          <w:rStyle w:val="Brak"/>
          <w:i w:val="0"/>
          <w:iCs w:val="0"/>
          <w:sz w:val="14"/>
          <w:szCs w:val="14"/>
        </w:rPr>
        <w:t>wojskowi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i </w:t>
      </w:r>
      <w:proofErr w:type="spellStart"/>
      <w:r>
        <w:rPr>
          <w:rStyle w:val="Brak"/>
          <w:i w:val="0"/>
          <w:iCs w:val="0"/>
          <w:sz w:val="14"/>
          <w:szCs w:val="14"/>
        </w:rPr>
        <w:t>studenci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. </w:t>
      </w:r>
    </w:p>
    <w:p w14:paraId="7149C37B" w14:textId="77777777" w:rsidR="009923F5" w:rsidRDefault="009923F5">
      <w:pPr>
        <w:spacing w:line="276" w:lineRule="auto"/>
        <w:rPr>
          <w:rStyle w:val="Brak"/>
          <w:i w:val="0"/>
          <w:iCs w:val="0"/>
          <w:sz w:val="14"/>
          <w:szCs w:val="14"/>
        </w:rPr>
      </w:pPr>
    </w:p>
    <w:p w14:paraId="35DD3FD1" w14:textId="77777777" w:rsidR="009923F5" w:rsidRDefault="00000000">
      <w:pPr>
        <w:spacing w:line="276" w:lineRule="auto"/>
      </w:pPr>
      <w:r>
        <w:rPr>
          <w:rStyle w:val="Brak"/>
          <w:i w:val="0"/>
          <w:iCs w:val="0"/>
          <w:sz w:val="14"/>
          <w:szCs w:val="14"/>
        </w:rPr>
        <w:t xml:space="preserve">Business Centre Club w </w:t>
      </w:r>
      <w:proofErr w:type="spellStart"/>
      <w:r>
        <w:rPr>
          <w:rStyle w:val="Brak"/>
          <w:i w:val="0"/>
          <w:iCs w:val="0"/>
          <w:sz w:val="14"/>
          <w:szCs w:val="14"/>
        </w:rPr>
        <w:t>mediach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 </w:t>
      </w:r>
      <w:proofErr w:type="spellStart"/>
      <w:r>
        <w:rPr>
          <w:rStyle w:val="Brak"/>
          <w:i w:val="0"/>
          <w:iCs w:val="0"/>
          <w:sz w:val="14"/>
          <w:szCs w:val="14"/>
        </w:rPr>
        <w:t>społecznościowych</w:t>
      </w:r>
      <w:proofErr w:type="spellEnd"/>
      <w:r>
        <w:rPr>
          <w:rStyle w:val="Brak"/>
          <w:i w:val="0"/>
          <w:iCs w:val="0"/>
          <w:sz w:val="14"/>
          <w:szCs w:val="14"/>
        </w:rPr>
        <w:t xml:space="preserve">: </w:t>
      </w:r>
      <w:hyperlink r:id="rId10" w:history="1">
        <w:r>
          <w:rPr>
            <w:rStyle w:val="Hyperlink2"/>
          </w:rPr>
          <w:t>LinkedIn &gt;</w:t>
        </w:r>
      </w:hyperlink>
      <w:r>
        <w:rPr>
          <w:rStyle w:val="Brak"/>
          <w:i w:val="0"/>
          <w:iCs w:val="0"/>
          <w:sz w:val="14"/>
          <w:szCs w:val="14"/>
        </w:rPr>
        <w:t xml:space="preserve"> </w:t>
      </w:r>
      <w:hyperlink r:id="rId11" w:history="1">
        <w:r>
          <w:rPr>
            <w:rStyle w:val="Hyperlink2"/>
          </w:rPr>
          <w:t>Facebook &gt;</w:t>
        </w:r>
      </w:hyperlink>
      <w:r>
        <w:rPr>
          <w:rStyle w:val="Brak"/>
          <w:i w:val="0"/>
          <w:iCs w:val="0"/>
          <w:sz w:val="14"/>
          <w:szCs w:val="14"/>
        </w:rPr>
        <w:t xml:space="preserve"> </w:t>
      </w:r>
      <w:bookmarkEnd w:id="0"/>
      <w:r>
        <w:rPr>
          <w:rStyle w:val="Hyperlink2"/>
        </w:rPr>
        <w:fldChar w:fldCharType="begin"/>
      </w:r>
      <w:r>
        <w:rPr>
          <w:rStyle w:val="Hyperlink2"/>
        </w:rPr>
        <w:instrText xml:space="preserve"> HYPERLINK "http://www.twitter.com/BCCorg"</w:instrText>
      </w:r>
      <w:r>
        <w:rPr>
          <w:rStyle w:val="Hyperlink2"/>
        </w:rPr>
      </w:r>
      <w:r>
        <w:rPr>
          <w:rStyle w:val="Hyperlink2"/>
        </w:rPr>
        <w:fldChar w:fldCharType="separate"/>
      </w:r>
      <w:r>
        <w:rPr>
          <w:rStyle w:val="Hyperlink2"/>
        </w:rPr>
        <w:t>Twitter &gt;</w:t>
      </w:r>
      <w:r>
        <w:fldChar w:fldCharType="end"/>
      </w:r>
    </w:p>
    <w:sectPr w:rsidR="009923F5">
      <w:headerReference w:type="default" r:id="rId12"/>
      <w:footerReference w:type="default" r:id="rId13"/>
      <w:pgSz w:w="11900" w:h="16840"/>
      <w:pgMar w:top="2410" w:right="1417" w:bottom="1417" w:left="1417" w:header="851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0F08" w14:textId="77777777" w:rsidR="00D4246D" w:rsidRDefault="00D4246D">
      <w:pPr>
        <w:spacing w:line="240" w:lineRule="auto"/>
      </w:pPr>
      <w:r>
        <w:separator/>
      </w:r>
    </w:p>
  </w:endnote>
  <w:endnote w:type="continuationSeparator" w:id="0">
    <w:p w14:paraId="57C485A1" w14:textId="77777777" w:rsidR="00D4246D" w:rsidRDefault="00D42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E175" w14:textId="77777777" w:rsidR="009923F5" w:rsidRDefault="009923F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1AA7" w14:textId="77777777" w:rsidR="00D4246D" w:rsidRDefault="00D4246D">
      <w:pPr>
        <w:spacing w:line="240" w:lineRule="auto"/>
      </w:pPr>
      <w:r>
        <w:separator/>
      </w:r>
    </w:p>
  </w:footnote>
  <w:footnote w:type="continuationSeparator" w:id="0">
    <w:p w14:paraId="6F477B5E" w14:textId="77777777" w:rsidR="00D4246D" w:rsidRDefault="00D42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ABCC" w14:textId="77777777" w:rsidR="009923F5" w:rsidRDefault="00000000">
    <w:pPr>
      <w:spacing w:line="276" w:lineRule="auto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CA919A5" wp14:editId="6E49A0D6">
          <wp:simplePos x="0" y="0"/>
          <wp:positionH relativeFrom="page">
            <wp:posOffset>2659380</wp:posOffset>
          </wp:positionH>
          <wp:positionV relativeFrom="page">
            <wp:posOffset>509269</wp:posOffset>
          </wp:positionV>
          <wp:extent cx="1933286" cy="705600"/>
          <wp:effectExtent l="0" t="0" r="0" b="0"/>
          <wp:wrapNone/>
          <wp:docPr id="1073741825" name="officeArt object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tekst, Czcionka, logo, GrafikaOpis wygenerowany automatycznie" descr="Obraz zawierający tekst, Czcionka, logo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286" cy="705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i w:val="0"/>
        <w:iCs w:val="0"/>
        <w:sz w:val="18"/>
        <w:szCs w:val="18"/>
      </w:rPr>
      <w:t xml:space="preserve">Warszawa, 21.01.2026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93F"/>
    <w:multiLevelType w:val="hybridMultilevel"/>
    <w:tmpl w:val="059477AA"/>
    <w:numStyleLink w:val="Zaimportowanystyl1"/>
  </w:abstractNum>
  <w:abstractNum w:abstractNumId="1" w15:restartNumberingAfterBreak="0">
    <w:nsid w:val="37335D3D"/>
    <w:multiLevelType w:val="hybridMultilevel"/>
    <w:tmpl w:val="4B6E19A4"/>
    <w:styleLink w:val="Punktory"/>
    <w:lvl w:ilvl="0" w:tplc="225EF488">
      <w:start w:val="1"/>
      <w:numFmt w:val="bullet"/>
      <w:lvlText w:val="-"/>
      <w:lvlJc w:val="left"/>
      <w:pPr>
        <w:ind w:left="173" w:hanging="17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D2014E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9E75B6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8565A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96A3DC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96F39C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86E932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4C40A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344C94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86178C"/>
    <w:multiLevelType w:val="hybridMultilevel"/>
    <w:tmpl w:val="059477AA"/>
    <w:styleLink w:val="Zaimportowanystyl1"/>
    <w:lvl w:ilvl="0" w:tplc="49302E3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A059E2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9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6FB2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CF1D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6665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E27D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B694D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A4CE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7326B5E"/>
    <w:multiLevelType w:val="hybridMultilevel"/>
    <w:tmpl w:val="4B6E19A4"/>
    <w:numStyleLink w:val="Punktory"/>
  </w:abstractNum>
  <w:num w:numId="1" w16cid:durableId="1511142340">
    <w:abstractNumId w:val="1"/>
  </w:num>
  <w:num w:numId="2" w16cid:durableId="210771303">
    <w:abstractNumId w:val="3"/>
  </w:num>
  <w:num w:numId="3" w16cid:durableId="1552376024">
    <w:abstractNumId w:val="2"/>
  </w:num>
  <w:num w:numId="4" w16cid:durableId="186640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F5"/>
    <w:rsid w:val="00154818"/>
    <w:rsid w:val="009923F5"/>
    <w:rsid w:val="00B7095A"/>
    <w:rsid w:val="00D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E17E"/>
  <w15:docId w15:val="{328AE5A8-0FC3-4DD2-A49E-853C232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rFonts w:ascii="Arial" w:hAnsi="Arial" w:cs="Arial Unicode MS"/>
      <w:i/>
      <w:iCs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ory">
    <w:name w:val="Punktory"/>
    <w:pPr>
      <w:numPr>
        <w:numId w:val="1"/>
      </w:numPr>
    </w:pPr>
  </w:style>
  <w:style w:type="character" w:customStyle="1" w:styleId="BrakA">
    <w:name w:val="Brak A"/>
  </w:style>
  <w:style w:type="numbering" w:customStyle="1" w:styleId="Zaimportowanystyl1">
    <w:name w:val="Zaimportowany styl 1"/>
    <w:pPr>
      <w:numPr>
        <w:numId w:val="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u w:val="single" w:color="AA3034"/>
    </w:rPr>
  </w:style>
  <w:style w:type="character" w:customStyle="1" w:styleId="Hyperlink1">
    <w:name w:val="Hyperlink.1"/>
    <w:basedOn w:val="Brak"/>
    <w:rPr>
      <w:rFonts w:ascii="Helvetica Neue" w:eastAsia="Helvetica Neue" w:hAnsi="Helvetica Neue" w:cs="Helvetica Neue"/>
      <w:outline w:val="0"/>
      <w:color w:val="000000"/>
      <w:u w:val="single" w:color="000000"/>
    </w:rPr>
  </w:style>
  <w:style w:type="character" w:customStyle="1" w:styleId="Hyperlink2">
    <w:name w:val="Hyperlink.2"/>
    <w:basedOn w:val="Brak"/>
    <w:rPr>
      <w:rFonts w:ascii="Arial" w:eastAsia="Arial" w:hAnsi="Arial" w:cs="Arial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rozpara@bcc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@openmindedgrou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usinesscentreclu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company/business-centre-clu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Rybińska–Fliszkiewicz Joanna</dc:creator>
  <cp:lastModifiedBy>Rybińska–Fliszkiewicz Joanna</cp:lastModifiedBy>
  <cp:revision>2</cp:revision>
  <dcterms:created xsi:type="dcterms:W3CDTF">2026-01-26T08:09:00Z</dcterms:created>
  <dcterms:modified xsi:type="dcterms:W3CDTF">2026-01-26T08:09:00Z</dcterms:modified>
</cp:coreProperties>
</file>