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F0133" w14:textId="77777777" w:rsidR="00470E0E" w:rsidRDefault="005C4FC6">
      <w:pPr>
        <w:pStyle w:val="TreA"/>
        <w:spacing w:line="276" w:lineRule="auto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Warszawa, 26.07.2023 r. </w:t>
      </w:r>
    </w:p>
    <w:p w14:paraId="528DB6A7" w14:textId="77777777" w:rsidR="00470E0E" w:rsidRDefault="00470E0E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21A4F631" w14:textId="77777777" w:rsidR="00470E0E" w:rsidRDefault="00470E0E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</w:p>
    <w:p w14:paraId="50858141" w14:textId="77777777" w:rsidR="00470E0E" w:rsidRDefault="00470E0E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eastAsia="Arial" w:hAnsi="Arial" w:cs="Arial"/>
          <w:caps/>
          <w:color w:val="B23033"/>
          <w:sz w:val="22"/>
          <w:szCs w:val="22"/>
          <w:u w:color="BE1E2D"/>
          <w:shd w:val="clear" w:color="auto" w:fill="FFFFFF"/>
          <w:lang w:val="de-DE"/>
        </w:rPr>
      </w:pPr>
    </w:p>
    <w:p w14:paraId="2CBC7115" w14:textId="77777777" w:rsidR="00470E0E" w:rsidRDefault="005C4FC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center"/>
        <w:rPr>
          <w:rFonts w:ascii="Arial" w:eastAsia="Arial" w:hAnsi="Arial" w:cs="Arial"/>
          <w:b/>
          <w:bCs/>
          <w:color w:val="AD3032"/>
          <w:shd w:val="clear" w:color="auto" w:fill="FFFFFF"/>
        </w:rPr>
      </w:pPr>
      <w:r>
        <w:rPr>
          <w:rFonts w:ascii="Arial" w:hAnsi="Arial"/>
          <w:b/>
          <w:bCs/>
          <w:color w:val="AD3032"/>
          <w:shd w:val="clear" w:color="auto" w:fill="FFFFFF"/>
        </w:rPr>
        <w:t>REFORMA ZDROWIA BEZ KONSULTACJI SPOŁECZNYCH                                           - KOMENTARZ EKSPERTA</w:t>
      </w:r>
    </w:p>
    <w:p w14:paraId="544AFDA2" w14:textId="77777777" w:rsidR="00470E0E" w:rsidRDefault="00470E0E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64" w:lineRule="auto"/>
        <w:jc w:val="center"/>
        <w:rPr>
          <w:rFonts w:ascii="Arial" w:eastAsia="Arial" w:hAnsi="Arial" w:cs="Arial"/>
          <w:b/>
          <w:bCs/>
          <w:color w:val="AD3032"/>
          <w:shd w:val="clear" w:color="auto" w:fill="FFFFFF"/>
        </w:rPr>
      </w:pPr>
    </w:p>
    <w:p w14:paraId="5BF102DF" w14:textId="7A6049ED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64" w:lineRule="auto"/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b/>
          <w:bCs/>
          <w:sz w:val="22"/>
          <w:szCs w:val="22"/>
          <w:u w:color="ED5C57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Sejmie odbędą się posiedzenia Komisji Zdrowia. </w:t>
      </w: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Resort zdrowia dokonał w projekcie nowelizacji ustawy refundacyjnej m.in. </w:t>
      </w:r>
      <w:proofErr w:type="spellStart"/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dw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ch</w:t>
      </w:r>
      <w:proofErr w:type="spellEnd"/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fundamentalnych zmian bez konsultacji oraz oszacowania ich </w:t>
      </w:r>
      <w:proofErr w:type="spellStart"/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skutk</w:t>
      </w:r>
      <w:proofErr w:type="spellEnd"/>
      <w:r>
        <w:rPr>
          <w:rFonts w:ascii="Arial" w:hAnsi="Arial"/>
          <w:b/>
          <w:b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finansowych i konsekwencji dla całego systemu opieki zdrowotnej. Po raz kolejny pominięto też konsultacje ze stroną społeczną.</w:t>
      </w:r>
    </w:p>
    <w:p w14:paraId="480808BE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74431CB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USTAWICZNY BRAK DIALOGU SPOŁECZNEGO</w:t>
      </w:r>
    </w:p>
    <w:p w14:paraId="0E37319C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676E0B2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Mieliśmy nadzieję, że podczas prac w Senacie nad tą ustawą zostanie przeprowadzona rzetelna i merytoryczna dyskusja z uwzględnieniem analiz finansowych i innych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skutk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proponowanych zmian prawnych.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- podkreśla </w:t>
      </w:r>
      <w:r w:rsidRPr="005C4FC6">
        <w:rPr>
          <w:rFonts w:ascii="Arial" w:hAnsi="Arial"/>
          <w:b/>
          <w:bCs/>
          <w:sz w:val="22"/>
          <w:szCs w:val="22"/>
          <w:u w:color="ED5C57"/>
          <w:lang w:val="pl-PL"/>
          <w14:textOutline w14:w="0" w14:cap="flat" w14:cmpd="sng" w14:algn="ctr">
            <w14:noFill/>
            <w14:prstDash w14:val="solid"/>
            <w14:bevel/>
          </w14:textOutline>
        </w:rPr>
        <w:t>Krzysztof Kopeć, ekspert BCC ds. opieki zdrowotnej, refundacji, rejestracji lek</w:t>
      </w:r>
      <w:r>
        <w:rPr>
          <w:rFonts w:ascii="Arial" w:hAnsi="Arial"/>
          <w:b/>
          <w:bCs/>
          <w:sz w:val="22"/>
          <w:szCs w:val="22"/>
          <w:u w:color="ED5C57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b/>
          <w:bCs/>
          <w:sz w:val="22"/>
          <w:szCs w:val="22"/>
          <w:u w:color="ED5C57"/>
          <w:lang w:val="pl-PL"/>
          <w14:textOutline w14:w="0" w14:cap="flat" w14:cmpd="sng" w14:algn="ctr">
            <w14:noFill/>
            <w14:prstDash w14:val="solid"/>
            <w14:bevel/>
          </w14:textOutline>
        </w:rPr>
        <w:t>w i postępowania administracyjnego, prezes Krajowych Producent</w:t>
      </w:r>
      <w:r>
        <w:rPr>
          <w:rFonts w:ascii="Arial" w:hAnsi="Arial"/>
          <w:b/>
          <w:bCs/>
          <w:sz w:val="22"/>
          <w:szCs w:val="22"/>
          <w:u w:color="ED5C57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b/>
          <w:bCs/>
          <w:sz w:val="22"/>
          <w:szCs w:val="22"/>
          <w:u w:color="ED5C57"/>
          <w:lang w:val="pl-PL"/>
          <w14:textOutline w14:w="0" w14:cap="flat" w14:cmpd="sng" w14:algn="ctr">
            <w14:noFill/>
            <w14:prstDash w14:val="solid"/>
            <w14:bevel/>
          </w14:textOutline>
        </w:rPr>
        <w:t>w Lek</w:t>
      </w:r>
      <w:r>
        <w:rPr>
          <w:rFonts w:ascii="Arial" w:hAnsi="Arial"/>
          <w:b/>
          <w:bCs/>
          <w:sz w:val="22"/>
          <w:szCs w:val="22"/>
          <w:u w:color="ED5C57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b/>
          <w:bCs/>
          <w:sz w:val="22"/>
          <w:szCs w:val="22"/>
          <w:u w:color="ED5C57"/>
          <w:lang w:val="pl-PL"/>
          <w14:textOutline w14:w="0" w14:cap="flat" w14:cmpd="sng" w14:algn="ctr">
            <w14:noFill/>
            <w14:prstDash w14:val="solid"/>
            <w14:bevel/>
          </w14:textOutline>
        </w:rPr>
        <w:t>w.</w:t>
      </w:r>
    </w:p>
    <w:p w14:paraId="49970141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117E65E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Objęcie refundacją lek</w:t>
      </w:r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dostępnych bez recepty, podczas gdy polscy pacjenci co roku wydają 9,5 mld zł na ordynowane im nierefundowane leki dostępne tylko na receptę – wydaje się nieracjonalnym gospodarowaniem składkami zdrowotnymi Polak</w:t>
      </w:r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w.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Spośr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d wszystkich zarejestrowanych w Polsce lek</w:t>
      </w:r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na receptę niespełna 10 proc. jest refundowanych, co oznacza, że są pilniejsze potrzeby zdrowotne do sfinansowania. Poza tym refundowanie lek</w:t>
      </w:r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dostępnych dziś bez recepty będzie preferować najtańszych azjatyckich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wytw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rc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w,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rzy</w:t>
      </w:r>
      <w:proofErr w:type="spellEnd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zmonopolizują ten rynek - kosztem krajowych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wytw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rc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w. Paradoksem jest, że samo Ministerstwo Zdrowia kilka miesięcy temu pisało w oficjalnym uzasadnieniu do projektu: „nie można tolerować sytuacji, w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rej leki OTC stałyby się refundowane.”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- dodaje </w:t>
      </w: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ekspert BCC.</w:t>
      </w:r>
    </w:p>
    <w:p w14:paraId="4CED7020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BF35C82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GORSZE ZAOPATRZENIE APTEK</w:t>
      </w:r>
    </w:p>
    <w:p w14:paraId="5230BBBF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29F6408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Wprowadzenie obowiązku zaopatrywania przez producent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10 wskazanych przez Ministerstwo Zdrowia hurtowni oznacza przymus dostaw do dystrybutor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w,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rzy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nie będą w stanie dostarczać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do aptek w całym kraju, mogą być niewypłacalni lub narzucić warunki współpracy nieakceptowalne dla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wytw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rc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w. W efekcie grozi to mniejszą niż obecnie dostępnością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aptekach. Dodatkowo ważnymi przepisami,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re nadal nie są jasne są zapisy tzw. algorytmu dostaw. Wpisywanie do decyzji refundacyjnej wielkości rocznych dostaw wyliczonych według sztywnego algorytmu nie uwzględniającego zmian w grupie limitowej po wydaniu decyzji będzie skutkować nadmiarowymi dostawami i koniecznością utylizacji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w. Nowelizacja przewiduje bezwzględne sankcje za niedostarczenie ww. ilości, nawet jeśli przekroczą potrzeby pacjent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i rynku. Definicja ciągłości dostaw powinna też uwzględniać wielkość zapas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dostarczonych do całego rynku (także aptek). </w:t>
      </w:r>
    </w:p>
    <w:p w14:paraId="27CD51FC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ACF0A8A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LEKI BEZ INDEKSACJI</w:t>
      </w:r>
    </w:p>
    <w:p w14:paraId="43D40961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8789F63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Istotną kwestią,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ra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wpływa na rynek jest brak indeksacji cen najtańszych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refundowanych – tych do 75 zł. Tych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najczęściej brakuje i ich najbardziej dotyczy </w:t>
      </w:r>
    </w:p>
    <w:p w14:paraId="068767F1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3AB4D43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>wzrost koszt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pracy, wytwarzania, prądu i inflacja. W Ustawie brakuje procedury podwyższenia cen urzędowych ze względu na znaczny wzrost inflacji.</w:t>
      </w:r>
    </w:p>
    <w:p w14:paraId="2DBFCC79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kern w:val="2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Zdaniem eksperta BCC - u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zasadnieniem oczekiwania indeksacji cen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jest także działanie Ministra Zdrowia - w Ustawie Minister Zdrowia przewiduje podobne narzędzia, ale tylko jeśli chodzi o przychody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AOTMiT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oraz wynagrodzenie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członk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Komisji Ekonomicznej  np. w art. 35 usta 3a-c przewiduje się w noweli waloryzację wysokości opłaty za analizę weryfikacyjną, z kolei w art.  22 ust. 2 waloryzuje-podwyższa się o prawie 100% wynagrodzenie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członk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Komisji Ekonomicznej z poziomu dzisiejszego 10 500 PLN miesięcznie dla członka do poziomu  19 038,45 PLN miesięcznie dla członka zakładając jednocześnie ciągłą coroczną waloryzację wysokości wynagrodzenia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członk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Komisji Ekonomicznej.</w:t>
      </w:r>
    </w:p>
    <w:p w14:paraId="3213FC39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3BFEE60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BRAK BEZPIECZEŃSTWA LEKOWEGO</w:t>
      </w:r>
    </w:p>
    <w:p w14:paraId="3528A048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7299C7F7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kern w:val="2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27 lipca </w:t>
      </w:r>
      <w:r>
        <w:rPr>
          <w:rFonts w:ascii="Arial" w:hAnsi="Arial"/>
          <w:sz w:val="22"/>
          <w:szCs w:val="22"/>
          <w:u w:color="C82613"/>
          <w:lang w:val="da-DK"/>
          <w14:textOutline w14:w="0" w14:cap="flat" w14:cmpd="sng" w14:algn="ctr">
            <w14:noFill/>
            <w14:prstDash w14:val="solid"/>
            <w14:bevel/>
          </w14:textOutline>
        </w:rPr>
        <w:t>odb</w:t>
      </w:r>
      <w:proofErr w:type="spellStart"/>
      <w:r w:rsidRPr="005C4FC6">
        <w:rPr>
          <w:rFonts w:ascii="Arial" w:hAnsi="Arial"/>
          <w:sz w:val="22"/>
          <w:szCs w:val="22"/>
          <w:u w:color="C82613"/>
          <w:lang w:val="pl-PL"/>
          <w14:textOutline w14:w="0" w14:cap="flat" w14:cmpd="sng" w14:algn="ctr">
            <w14:noFill/>
            <w14:prstDash w14:val="solid"/>
            <w14:bevel/>
          </w14:textOutline>
        </w:rPr>
        <w:t>ędzie</w:t>
      </w:r>
      <w:proofErr w:type="spellEnd"/>
      <w:r w:rsidRPr="005C4FC6">
        <w:rPr>
          <w:rFonts w:ascii="Arial" w:hAnsi="Arial"/>
          <w:sz w:val="22"/>
          <w:szCs w:val="22"/>
          <w:u w:color="C82613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się też rozpatrzenie informacji na temat bezpieczeństwa lekowego kraju oraz efekt</w:t>
      </w:r>
      <w:r>
        <w:rPr>
          <w:rFonts w:ascii="Arial" w:hAnsi="Arial"/>
          <w:sz w:val="22"/>
          <w:szCs w:val="22"/>
          <w:u w:color="C82613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u w:color="C82613"/>
          <w:lang w:val="pl-PL"/>
          <w14:textOutline w14:w="0" w14:cap="flat" w14:cmpd="sng" w14:algn="ctr">
            <w14:noFill/>
            <w14:prstDash w14:val="solid"/>
            <w14:bevel/>
          </w14:textOutline>
        </w:rPr>
        <w:t>w działań podejmowanych przez rząd na polu zwiększania produkcji substancji czynnych.</w:t>
      </w:r>
    </w:p>
    <w:p w14:paraId="10993875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61179F5E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Dziś zaledwie co trzeci lek refundowany jest produkowany w Polsce. Trudno jest zwiększyć udział krajowych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rynku refundowanych farmaceutyk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w, bo od 2019 r. koszty ich wytwarzania wzrosły o 28%, a średnia cena koszyka najczęściej stosowanych spadła o 4%. Zdaniem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ekonomist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w, powoduje to ograniczenie krajowej produkcji i zmniejsza jej udział w polskim rynku.  W nowelizacji Minister wreszcie dostrzega wagę bezpieczeństwa lekowego Polski i produkcji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kraju, ale proponuje mało efektywne preferencje tylko dla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poszczeg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lnych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produkowanych w Polsce lub z polskich substancji - 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doceniamy ten krok, ale wsparcie powinno dotyczyć firm,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re mają produkcję lek</w:t>
      </w:r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</w:t>
      </w:r>
      <w:proofErr w:type="spellEnd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Polsce, bo to one będą nam gwarantować bezpieczeństwo w razie kryzys</w:t>
      </w:r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w. Zaproponowana zmiana jest krokiem w dobrą stronę, ale w obecnych czasach potrzebny jest nam sprint w kierunku większej suwerenności lekowej Polski i Europy. - podkreśla </w:t>
      </w:r>
      <w:r w:rsidRPr="005C4FC6">
        <w:rPr>
          <w:rFonts w:ascii="Arial" w:hAnsi="Arial"/>
          <w:b/>
          <w:bCs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Krzysztof Kopeć. </w:t>
      </w:r>
    </w:p>
    <w:p w14:paraId="6249C232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2ABEB54" w14:textId="19C0E503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AZJA</w:t>
      </w:r>
      <w:r w:rsidR="006C50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MONOPOLIZUJE RYNKI</w:t>
      </w:r>
    </w:p>
    <w:p w14:paraId="586FD652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57DFBB4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kern w:val="2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Do połowy lat 90. Europa i USA dostarczały 90 proc. stosowanych na świecie substancji do produkcji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w, dziś jest to zaledwie ponad 20 proc. Jeszcze w 2000 r. producenci API z Unii Europejskiej zaspokajali 53% popytu, a w roku 2020 – już tylko 25 %. Wedle różnych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szacunk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w, obecnie Azja zaspokaja w przypadku Polski nawet 80 proc. zapotrzebowania na API. Czy jest to zagrożenie? Oczywiście, że tak. Dla azjatyckich kraj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taka karta przetargowa może stanowić siłę nacisku politycznego.</w:t>
      </w:r>
    </w:p>
    <w:p w14:paraId="5D2E0227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maju br. wiceminister rozwoju Kamila Kr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l poinformowała, że w Ministerstwie Rozwoju           i Technologii powstał mechanizm,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ry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będzie miał na celu stwarzanie odpowiednich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warunk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do rozwoju tego przemysłu, głównie w obszarze aktywnych substancji farmaceutycznych. Ten projekt zakłada udzielanie wsparcia w zakresie budowy, jak r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wnież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rozbudowy infrastruktury produkcyjnej do API,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generycznych i biologicznych r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wnoważnych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. </w:t>
      </w:r>
      <w:r>
        <w:rPr>
          <w:rFonts w:ascii="Arial" w:hAnsi="Arial"/>
          <w:sz w:val="22"/>
          <w:szCs w:val="22"/>
          <w:lang w:val="de-DE"/>
          <w14:textOutline w14:w="0" w14:cap="flat" w14:cmpd="sng" w14:algn="ctr">
            <w14:noFill/>
            <w14:prstDash w14:val="solid"/>
            <w14:bevel/>
          </w14:textOutline>
        </w:rPr>
        <w:t>W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 ramach Krajowego Planu Odbudowy przewidziane jest 139,5 mln euro,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re byłyby przeznaczony na budowę i rozbudowę infrastruktury do ich produkcji. </w:t>
      </w:r>
    </w:p>
    <w:p w14:paraId="4915833C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5958724E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API KONIECZNE NOWE REGULACJE  </w:t>
      </w:r>
    </w:p>
    <w:p w14:paraId="31260E8D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1C090680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Resort rozwoju zlecił opracowanie listy aktywnych substancji farmaceutycznych kluczowych dla zapewnienia bezpieczeństwa obywateli wraz z przeglądem mechanizm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zachęt do rozpoczęcia produkcji. Ma to stanowić punkt wyjścia do dialogu z udziałem wszystkich 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lastRenderedPageBreak/>
        <w:t xml:space="preserve">kluczowych interesariuszy, w wyniku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rego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mają zostać wypracowane optymalne rozwiązania wpływające na faktyczne zwiększenie produkcji API w Polsce.</w:t>
      </w:r>
    </w:p>
    <w:p w14:paraId="2D020DBC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i/>
          <w:iCs/>
          <w:kern w:val="2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42D5A729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D</w:t>
      </w:r>
      <w:r>
        <w:rPr>
          <w:rFonts w:ascii="Arial" w:hAnsi="Arial"/>
          <w:i/>
          <w:iCs/>
          <w:sz w:val="22"/>
          <w:szCs w:val="22"/>
          <w:lang w:val="it-IT"/>
          <w14:textOutline w14:w="0" w14:cap="flat" w14:cmpd="sng" w14:algn="ctr">
            <w14:noFill/>
            <w14:prstDash w14:val="solid"/>
            <w14:bevel/>
          </w14:textOutline>
        </w:rPr>
        <w:t>zia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łania na poziomie krajowym nie wystarczą. Konieczne jest też, aby na poziomie UE pojawiły się inicjatywy wspierające odtwarzanie w naszym regionie produkcji substancji  czynnych i </w:t>
      </w:r>
      <w:proofErr w:type="spellStart"/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rozw</w:t>
      </w:r>
      <w:proofErr w:type="spellEnd"/>
      <w:r>
        <w:rPr>
          <w:rFonts w:ascii="Arial" w:hAnsi="Arial"/>
          <w:i/>
          <w:iCs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i/>
          <w:i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j całego sektora. Przedstawiony przez Komisję Europejską projekt zmiany europejskiego prawa farmaceutycznego nie odpowiada na te wyzwania. -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podsumowuje </w:t>
      </w: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Krzysztof Kopeć,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współautor raportu </w:t>
      </w:r>
      <w:r w:rsidRPr="005C4FC6">
        <w:rPr>
          <w:rFonts w:ascii="Arial" w:hAnsi="Arial"/>
          <w:b/>
          <w:bCs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BCC dla gospodarki: diagnoza i rekomendacje.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Rozdział 10. opracowania poświęcony został problematyce zdrowia.</w:t>
      </w:r>
    </w:p>
    <w:p w14:paraId="197A9CC6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i/>
          <w:iCs/>
          <w:kern w:val="2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FDD1958" w14:textId="77777777" w:rsidR="00470E0E" w:rsidRPr="005C4FC6" w:rsidRDefault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Krajowi Producenci Lek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w są autorem petycji do Parlamentu Europejskiego dotyczącej potrzeby wsparcia produkcji substancji czynnych dla produkt</w:t>
      </w:r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w leczniczych na terytorium UE. Wzywamy też do przyjęcia API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Act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, czyli dedykowanego instrumentu prawnego, 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kt</w:t>
      </w:r>
      <w:proofErr w:type="spellEnd"/>
      <w:r>
        <w:rPr>
          <w:rFonts w:ascii="Arial" w:hAnsi="Arial"/>
          <w:sz w:val="22"/>
          <w:szCs w:val="22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proofErr w:type="spellStart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ry</w:t>
      </w:r>
      <w:proofErr w:type="spellEnd"/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 xml:space="preserve"> zmieniałby regulacje w zakresie i pomocy publicznej, ale też oferował środki finansowe.               </w:t>
      </w:r>
    </w:p>
    <w:p w14:paraId="258F3932" w14:textId="77777777" w:rsidR="00470E0E" w:rsidRPr="005C4FC6" w:rsidRDefault="00470E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0291FA5A" w14:textId="77777777" w:rsidR="00470E0E" w:rsidRDefault="005C4FC6" w:rsidP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  <w:r w:rsidRPr="005C4FC6"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  <w:t>Raport – „BCC dla polskiej gospodarki: diagnoza i rekomendacje”. Obok wskazówek dotyczących rynku zdrowia, racjonalizacji prawodawstwa, prawa pracy znajdują się tu także propozycje kierunków polityki makroekonomicznej, usprawnienia systemu podatkowego, zmian związanych z poprawą sytuacji energetycznej, zarządzaniem zagadnieniami klimatu i środowiska, współpracą Polski z Unią Europejską, a także poprawą konkurencyjności polskich przedsiębiorców.</w:t>
      </w:r>
    </w:p>
    <w:p w14:paraId="38AE5E87" w14:textId="77777777" w:rsidR="005C4FC6" w:rsidRPr="005C4FC6" w:rsidRDefault="005C4FC6" w:rsidP="005C4F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720"/>
        <w:jc w:val="both"/>
        <w:rPr>
          <w:rFonts w:ascii="Arial" w:hAnsi="Arial"/>
          <w:sz w:val="22"/>
          <w:szCs w:val="22"/>
          <w:lang w:val="pl-PL"/>
          <w14:textOutline w14:w="0" w14:cap="flat" w14:cmpd="sng" w14:algn="ctr">
            <w14:noFill/>
            <w14:prstDash w14:val="solid"/>
            <w14:bevel/>
          </w14:textOutline>
        </w:rPr>
      </w:pPr>
    </w:p>
    <w:p w14:paraId="353DF13D" w14:textId="77777777" w:rsidR="00470E0E" w:rsidRDefault="00000000">
      <w:pPr>
        <w:pStyle w:val="DomylneB"/>
        <w:spacing w:before="0" w:after="160" w:line="240" w:lineRule="auto"/>
        <w:jc w:val="both"/>
        <w:rPr>
          <w:rStyle w:val="Brak"/>
          <w:rFonts w:ascii="Arial" w:eastAsia="Arial" w:hAnsi="Arial" w:cs="Arial"/>
          <w:sz w:val="20"/>
          <w:szCs w:val="20"/>
        </w:rPr>
      </w:pPr>
      <w:hyperlink r:id="rId7" w:history="1">
        <w:r w:rsidR="005C4FC6" w:rsidRPr="005C4FC6">
          <w:rPr>
            <w:rStyle w:val="Hyperlink0"/>
            <w:sz w:val="20"/>
            <w:szCs w:val="20"/>
            <w:lang w:val="pl-PL"/>
          </w:rPr>
          <w:t>Raport dostępny jest na stronie BCC.</w:t>
        </w:r>
      </w:hyperlink>
    </w:p>
    <w:p w14:paraId="245C80E3" w14:textId="77777777" w:rsidR="00470E0E" w:rsidRDefault="00470E0E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</w:p>
    <w:p w14:paraId="0BC95923" w14:textId="77777777" w:rsidR="00470E0E" w:rsidRDefault="005C4FC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 xml:space="preserve">Kontakt dla </w:t>
      </w:r>
      <w:proofErr w:type="spellStart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medi</w:t>
      </w:r>
      <w:proofErr w:type="spellEnd"/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  <w:shd w:val="clear" w:color="auto" w:fill="FFFFFF"/>
        </w:rPr>
        <w:t>w:</w:t>
      </w:r>
    </w:p>
    <w:p w14:paraId="466D50EE" w14:textId="77777777" w:rsidR="00470E0E" w:rsidRDefault="005C4FC6">
      <w:pPr>
        <w:pStyle w:val="DomylneA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18"/>
          <w:szCs w:val="18"/>
          <w:lang w:val="en-US"/>
        </w:rPr>
      </w:pPr>
      <w:proofErr w:type="spellStart"/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>Agencja</w:t>
      </w:r>
      <w:proofErr w:type="spellEnd"/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 Open Minded Group </w:t>
      </w:r>
      <w:hyperlink r:id="rId8" w:history="1">
        <w:r>
          <w:rPr>
            <w:rStyle w:val="Hyperlink1"/>
            <w:rFonts w:ascii="Arial" w:hAnsi="Arial"/>
            <w:sz w:val="18"/>
            <w:szCs w:val="18"/>
            <w:lang w:val="de-DE"/>
          </w:rPr>
          <w:t>pr@openmindedgroup.pl</w:t>
        </w:r>
      </w:hyperlink>
    </w:p>
    <w:p w14:paraId="6AC6A3A8" w14:textId="77777777" w:rsidR="00470E0E" w:rsidRDefault="005C4FC6">
      <w:pPr>
        <w:pStyle w:val="DomylneA"/>
        <w:numPr>
          <w:ilvl w:val="0"/>
          <w:numId w:val="2"/>
        </w:numPr>
        <w:spacing w:before="0" w:line="240" w:lineRule="auto"/>
        <w:jc w:val="both"/>
        <w:rPr>
          <w:rFonts w:ascii="Arial" w:hAnsi="Arial"/>
          <w:sz w:val="18"/>
          <w:szCs w:val="18"/>
          <w:lang w:val="en-US"/>
        </w:rPr>
      </w:pPr>
      <w:r>
        <w:rPr>
          <w:rStyle w:val="Brak"/>
          <w:rFonts w:ascii="Arial" w:hAnsi="Arial"/>
          <w:sz w:val="18"/>
          <w:szCs w:val="18"/>
          <w:shd w:val="clear" w:color="auto" w:fill="FFFFFF"/>
          <w:lang w:val="en-US"/>
        </w:rPr>
        <w:t xml:space="preserve">Business Centre Club: Renata Stefanowska </w:t>
      </w:r>
      <w:hyperlink r:id="rId9" w:history="1">
        <w:r>
          <w:rPr>
            <w:rStyle w:val="Hyperlink2"/>
            <w:rFonts w:ascii="Arial" w:hAnsi="Arial"/>
            <w:sz w:val="18"/>
            <w:szCs w:val="18"/>
          </w:rPr>
          <w:t>renata.stefanowska@bcc.pl</w:t>
        </w:r>
      </w:hyperlink>
    </w:p>
    <w:p w14:paraId="61816522" w14:textId="77777777" w:rsidR="00470E0E" w:rsidRDefault="00470E0E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ind w:firstLine="360"/>
        <w:jc w:val="both"/>
        <w:rPr>
          <w:rFonts w:ascii="Arial" w:eastAsia="Arial" w:hAnsi="Arial" w:cs="Arial"/>
          <w:sz w:val="18"/>
          <w:szCs w:val="18"/>
          <w:lang w:val="en-US"/>
        </w:rPr>
      </w:pPr>
    </w:p>
    <w:p w14:paraId="3C11A1FE" w14:textId="77777777" w:rsidR="00470E0E" w:rsidRDefault="005C4FC6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5C4FC6">
        <w:rPr>
          <w:rStyle w:val="Brak"/>
          <w:rFonts w:ascii="Arial" w:hAnsi="Arial"/>
          <w:b/>
          <w:bCs/>
          <w:sz w:val="18"/>
          <w:szCs w:val="18"/>
          <w:u w:color="AA3034"/>
          <w:shd w:val="clear" w:color="auto" w:fill="FFFFFF"/>
        </w:rPr>
        <w:t>Kontakt od eksperta:</w:t>
      </w:r>
      <w:r w:rsidRPr="005C4FC6"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 xml:space="preserve"> </w:t>
      </w:r>
    </w:p>
    <w:p w14:paraId="0B80628C" w14:textId="77777777" w:rsidR="00470E0E" w:rsidRDefault="005C4FC6" w:rsidP="005C4FC6">
      <w:pPr>
        <w:pStyle w:val="DomylneA"/>
        <w:numPr>
          <w:ilvl w:val="0"/>
          <w:numId w:val="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 xml:space="preserve">Krzysztof </w:t>
      </w:r>
      <w:proofErr w:type="spellStart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  <w:lang w:val="de-DE"/>
        </w:rPr>
        <w:t>Kope</w:t>
      </w:r>
      <w:proofErr w:type="spellEnd"/>
      <w:r>
        <w:rPr>
          <w:rStyle w:val="Brak"/>
          <w:rFonts w:ascii="Arial" w:hAnsi="Arial"/>
          <w:sz w:val="18"/>
          <w:szCs w:val="18"/>
          <w:u w:color="AA3034"/>
          <w:shd w:val="clear" w:color="auto" w:fill="FFFFFF"/>
        </w:rPr>
        <w:t>ć ekspert</w:t>
      </w:r>
      <w:r>
        <w:rPr>
          <w:rFonts w:ascii="Arial" w:hAnsi="Arial"/>
          <w:sz w:val="18"/>
          <w:szCs w:val="18"/>
        </w:rPr>
        <w:t xml:space="preserve"> </w:t>
      </w:r>
      <w:r>
        <w:rPr>
          <w:rStyle w:val="Brak"/>
          <w:rFonts w:ascii="Arial" w:hAnsi="Arial"/>
          <w:b/>
          <w:bCs/>
          <w:color w:val="5F6368"/>
          <w:sz w:val="18"/>
          <w:szCs w:val="18"/>
        </w:rPr>
        <w:t>BCC</w:t>
      </w:r>
      <w:r>
        <w:rPr>
          <w:rFonts w:ascii="Arial" w:hAnsi="Arial"/>
          <w:sz w:val="18"/>
          <w:szCs w:val="18"/>
        </w:rPr>
        <w:t xml:space="preserve"> ds. opieki zdrowotnej, refundacji, rejestracji lek</w:t>
      </w:r>
      <w:r>
        <w:rPr>
          <w:rFonts w:ascii="Arial" w:hAnsi="Arial"/>
          <w:sz w:val="18"/>
          <w:szCs w:val="18"/>
          <w:lang w:val="es-ES_tradnl"/>
        </w:rPr>
        <w:t>ó</w:t>
      </w:r>
      <w:r>
        <w:rPr>
          <w:rFonts w:ascii="Arial" w:hAnsi="Arial"/>
          <w:sz w:val="18"/>
          <w:szCs w:val="18"/>
        </w:rPr>
        <w:t xml:space="preserve">w, postępowania administracyjnego e-mail: </w:t>
      </w:r>
      <w:hyperlink r:id="rId10" w:history="1">
        <w:r>
          <w:rPr>
            <w:rStyle w:val="Hyperlink1"/>
            <w:rFonts w:ascii="Arial" w:hAnsi="Arial"/>
            <w:sz w:val="18"/>
            <w:szCs w:val="18"/>
          </w:rPr>
          <w:t>krzysztof.kopec@bcc.pl</w:t>
        </w:r>
      </w:hyperlink>
    </w:p>
    <w:p w14:paraId="57513D18" w14:textId="77777777" w:rsidR="00470E0E" w:rsidRDefault="00470E0E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40" w:lineRule="auto"/>
        <w:jc w:val="both"/>
        <w:rPr>
          <w:rFonts w:ascii="Arial" w:eastAsia="Arial" w:hAnsi="Arial" w:cs="Arial"/>
          <w:sz w:val="18"/>
          <w:szCs w:val="18"/>
        </w:rPr>
      </w:pPr>
    </w:p>
    <w:p w14:paraId="62A1B050" w14:textId="77777777" w:rsidR="00470E0E" w:rsidRPr="005C4FC6" w:rsidRDefault="00470E0E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sz w:val="22"/>
          <w:szCs w:val="22"/>
          <w:shd w:val="clear" w:color="auto" w:fill="000000"/>
        </w:rPr>
      </w:pPr>
    </w:p>
    <w:p w14:paraId="6FF5CACC" w14:textId="77777777" w:rsidR="00470E0E" w:rsidRPr="005C4FC6" w:rsidRDefault="00470E0E">
      <w:pPr>
        <w:pStyle w:val="Domylne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sz w:val="22"/>
          <w:szCs w:val="22"/>
        </w:rPr>
      </w:pPr>
    </w:p>
    <w:p w14:paraId="4371D6DD" w14:textId="77777777" w:rsidR="00470E0E" w:rsidRDefault="005C4FC6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264" w:lineRule="auto"/>
        <w:jc w:val="both"/>
        <w:rPr>
          <w:rFonts w:ascii="Arial" w:eastAsia="Arial" w:hAnsi="Arial" w:cs="Arial"/>
          <w:sz w:val="22"/>
          <w:szCs w:val="22"/>
        </w:rPr>
      </w:pPr>
      <w:r w:rsidRPr="005C4FC6">
        <w:rPr>
          <w:rStyle w:val="Brak"/>
          <w:rFonts w:ascii="Arial" w:hAnsi="Arial"/>
          <w:sz w:val="22"/>
          <w:szCs w:val="22"/>
        </w:rPr>
        <w:t xml:space="preserve"> </w:t>
      </w:r>
    </w:p>
    <w:p w14:paraId="014CC5B7" w14:textId="77777777" w:rsidR="00470E0E" w:rsidRDefault="005C4FC6">
      <w:pPr>
        <w:pStyle w:val="TreA"/>
        <w:pBdr>
          <w:top w:val="single" w:sz="4" w:space="0" w:color="000000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anchor distT="57150" distB="57150" distL="57150" distR="57150" simplePos="0" relativeHeight="251659264" behindDoc="0" locked="0" layoutInCell="1" allowOverlap="1" wp14:anchorId="45A86787" wp14:editId="68988A38">
            <wp:simplePos x="0" y="0"/>
            <wp:positionH relativeFrom="column">
              <wp:posOffset>-636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T="57150" distB="57150" distL="57150" distR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949A065" w14:textId="77777777" w:rsidR="00470E0E" w:rsidRDefault="005C4FC6">
      <w:pPr>
        <w:pStyle w:val="TreA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Business Centre Club to największa w kraju ustawowa organizacja indywidualnych </w:t>
      </w:r>
      <w:proofErr w:type="spellStart"/>
      <w:r>
        <w:rPr>
          <w:rFonts w:ascii="Arial" w:hAnsi="Arial"/>
          <w:sz w:val="20"/>
          <w:szCs w:val="20"/>
        </w:rPr>
        <w:t>pracodawc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w. Członkowie Klubu zatrudniają ponad 400 tys. pracownik</w:t>
      </w:r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>w, przychody firm to ponad 200 miliard</w:t>
      </w:r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</w:t>
      </w:r>
      <w:proofErr w:type="spellStart"/>
      <w:r>
        <w:rPr>
          <w:rFonts w:ascii="Arial" w:hAnsi="Arial"/>
          <w:sz w:val="20"/>
          <w:szCs w:val="20"/>
        </w:rPr>
        <w:t>przedsiębiorc</w:t>
      </w:r>
      <w:proofErr w:type="spellEnd"/>
      <w:r>
        <w:rPr>
          <w:rStyle w:val="Brak"/>
          <w:rFonts w:ascii="Arial" w:hAnsi="Arial"/>
          <w:sz w:val="20"/>
          <w:szCs w:val="20"/>
          <w:lang w:val="es-ES_tradnl"/>
        </w:rPr>
        <w:t>ó</w:t>
      </w:r>
      <w:r>
        <w:rPr>
          <w:rFonts w:ascii="Arial" w:hAnsi="Arial"/>
          <w:sz w:val="20"/>
          <w:szCs w:val="20"/>
        </w:rPr>
        <w:t xml:space="preserve">w są także prawnicy, dziennikarze, naukowcy, wydawcy, lekarze, wojskowi i studenci. </w:t>
      </w:r>
    </w:p>
    <w:p w14:paraId="189B3543" w14:textId="77777777" w:rsidR="00470E0E" w:rsidRDefault="00470E0E">
      <w:pPr>
        <w:pStyle w:val="TreA"/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15570004" w14:textId="77777777" w:rsidR="00470E0E" w:rsidRDefault="005C4FC6">
      <w:pPr>
        <w:pStyle w:val="TreA"/>
        <w:spacing w:line="276" w:lineRule="auto"/>
        <w:jc w:val="both"/>
      </w:pPr>
      <w:r>
        <w:rPr>
          <w:rFonts w:ascii="Arial" w:hAnsi="Arial"/>
          <w:sz w:val="20"/>
          <w:szCs w:val="20"/>
        </w:rPr>
        <w:t xml:space="preserve">Business Centre Club w mediach </w:t>
      </w:r>
      <w:proofErr w:type="spellStart"/>
      <w:r>
        <w:rPr>
          <w:rFonts w:ascii="Arial" w:hAnsi="Arial"/>
          <w:sz w:val="20"/>
          <w:szCs w:val="20"/>
        </w:rPr>
        <w:t>spo</w:t>
      </w:r>
      <w:proofErr w:type="spellEnd"/>
      <w:r>
        <w:rPr>
          <w:rStyle w:val="Brak"/>
          <w:rFonts w:ascii="Arial" w:hAnsi="Arial"/>
          <w:sz w:val="20"/>
          <w:szCs w:val="20"/>
          <w:lang w:val="en-US"/>
        </w:rPr>
        <w:t>ł</w:t>
      </w:r>
      <w:proofErr w:type="spellStart"/>
      <w:r>
        <w:rPr>
          <w:rFonts w:ascii="Arial" w:hAnsi="Arial"/>
          <w:sz w:val="20"/>
          <w:szCs w:val="20"/>
        </w:rPr>
        <w:t>eczno</w:t>
      </w:r>
      <w:proofErr w:type="spellEnd"/>
      <w:r>
        <w:rPr>
          <w:rStyle w:val="Brak"/>
          <w:rFonts w:ascii="Arial" w:hAnsi="Arial"/>
          <w:sz w:val="20"/>
          <w:szCs w:val="20"/>
          <w:lang w:val="en-US"/>
        </w:rPr>
        <w:t>ś</w:t>
      </w:r>
      <w:proofErr w:type="spellStart"/>
      <w:r>
        <w:rPr>
          <w:rFonts w:ascii="Arial" w:hAnsi="Arial"/>
          <w:sz w:val="20"/>
          <w:szCs w:val="20"/>
        </w:rPr>
        <w:t>ciowych</w:t>
      </w:r>
      <w:proofErr w:type="spellEnd"/>
      <w:r>
        <w:rPr>
          <w:rFonts w:ascii="Arial" w:hAnsi="Arial"/>
          <w:sz w:val="20"/>
          <w:szCs w:val="20"/>
        </w:rPr>
        <w:t xml:space="preserve">: </w:t>
      </w:r>
      <w:hyperlink r:id="rId12" w:history="1">
        <w:r>
          <w:rPr>
            <w:rStyle w:val="Hyperlink3"/>
            <w:rFonts w:ascii="Arial" w:hAnsi="Arial"/>
            <w:sz w:val="20"/>
            <w:szCs w:val="20"/>
          </w:rPr>
          <w:t>LinkedIn &gt;</w:t>
        </w:r>
      </w:hyperlink>
      <w:r>
        <w:rPr>
          <w:rFonts w:ascii="Arial" w:hAnsi="Arial"/>
          <w:sz w:val="20"/>
          <w:szCs w:val="20"/>
        </w:rPr>
        <w:t xml:space="preserve"> </w:t>
      </w:r>
      <w:hyperlink r:id="rId13" w:history="1">
        <w:r>
          <w:rPr>
            <w:rStyle w:val="Hyperlink3"/>
            <w:rFonts w:ascii="Arial" w:hAnsi="Arial"/>
            <w:sz w:val="20"/>
            <w:szCs w:val="20"/>
          </w:rPr>
          <w:t>Facebook &gt;</w:t>
        </w:r>
      </w:hyperlink>
      <w:r>
        <w:rPr>
          <w:rFonts w:ascii="Arial" w:hAnsi="Arial"/>
          <w:sz w:val="20"/>
          <w:szCs w:val="20"/>
        </w:rPr>
        <w:t xml:space="preserve"> </w:t>
      </w:r>
      <w:hyperlink r:id="rId14" w:history="1">
        <w:r>
          <w:rPr>
            <w:rStyle w:val="Hyperlink4"/>
            <w:rFonts w:ascii="Arial" w:hAnsi="Arial"/>
            <w:sz w:val="20"/>
            <w:szCs w:val="20"/>
          </w:rPr>
          <w:t>Twitter &gt;</w:t>
        </w:r>
      </w:hyperlink>
    </w:p>
    <w:sectPr w:rsidR="00470E0E">
      <w:headerReference w:type="default" r:id="rId15"/>
      <w:footerReference w:type="default" r:id="rId16"/>
      <w:pgSz w:w="11900" w:h="16840"/>
      <w:pgMar w:top="2410" w:right="1417" w:bottom="1417" w:left="1417" w:header="851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313C" w14:textId="77777777" w:rsidR="00F21F6E" w:rsidRDefault="00F21F6E">
      <w:r>
        <w:separator/>
      </w:r>
    </w:p>
  </w:endnote>
  <w:endnote w:type="continuationSeparator" w:id="0">
    <w:p w14:paraId="676844EB" w14:textId="77777777" w:rsidR="00F21F6E" w:rsidRDefault="00F2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94ACC" w14:textId="77777777" w:rsidR="00470E0E" w:rsidRDefault="00470E0E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31B30" w14:textId="77777777" w:rsidR="00F21F6E" w:rsidRDefault="00F21F6E">
      <w:r>
        <w:separator/>
      </w:r>
    </w:p>
  </w:footnote>
  <w:footnote w:type="continuationSeparator" w:id="0">
    <w:p w14:paraId="5AA3D3F4" w14:textId="77777777" w:rsidR="00F21F6E" w:rsidRDefault="00F21F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52FA2" w14:textId="77777777" w:rsidR="00470E0E" w:rsidRDefault="005C4FC6">
    <w:pPr>
      <w:pStyle w:val="NagwekistopkaA"/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B31D6A3" wp14:editId="0203FB2B">
          <wp:simplePos x="0" y="0"/>
          <wp:positionH relativeFrom="page">
            <wp:posOffset>2659380</wp:posOffset>
          </wp:positionH>
          <wp:positionV relativeFrom="page">
            <wp:posOffset>509270</wp:posOffset>
          </wp:positionV>
          <wp:extent cx="1933286" cy="705600"/>
          <wp:effectExtent l="0" t="0" r="0" b="0"/>
          <wp:wrapNone/>
          <wp:docPr id="1073741825" name="officeArt object" descr="Obraz zawierający tekst, Czcionka, logo, Grafi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az zawierający tekst, Czcionka, logo, GrafikaOpis wygenerowany automatycznie" descr="Obraz zawierający tekst, Czcionka, logo, GrafikaOpis wygenerowany automatyczni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33286" cy="705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58F"/>
    <w:multiLevelType w:val="hybridMultilevel"/>
    <w:tmpl w:val="67580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5ADD"/>
    <w:multiLevelType w:val="hybridMultilevel"/>
    <w:tmpl w:val="2870C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64589"/>
    <w:multiLevelType w:val="hybridMultilevel"/>
    <w:tmpl w:val="D8C4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D5D97"/>
    <w:multiLevelType w:val="hybridMultilevel"/>
    <w:tmpl w:val="5D0284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8C1B6D"/>
    <w:multiLevelType w:val="hybridMultilevel"/>
    <w:tmpl w:val="9FBEBD2E"/>
    <w:styleLink w:val="Zaimportowanystyl1"/>
    <w:lvl w:ilvl="0" w:tplc="FCA4D7E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C216E8">
      <w:start w:val="1"/>
      <w:numFmt w:val="bullet"/>
      <w:lvlText w:val="o"/>
      <w:lvlJc w:val="left"/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208C3E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908C1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CC3FA8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AA3286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F4DA44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48729E">
      <w:start w:val="1"/>
      <w:numFmt w:val="bullet"/>
      <w:lvlText w:val="o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407C5E">
      <w:start w:val="1"/>
      <w:numFmt w:val="bullet"/>
      <w:lvlText w:val="▪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566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385C6D"/>
    <w:multiLevelType w:val="hybridMultilevel"/>
    <w:tmpl w:val="9FBEBD2E"/>
    <w:numStyleLink w:val="Zaimportowanystyl1"/>
  </w:abstractNum>
  <w:num w:numId="1" w16cid:durableId="201939530">
    <w:abstractNumId w:val="4"/>
  </w:num>
  <w:num w:numId="2" w16cid:durableId="324357879">
    <w:abstractNumId w:val="5"/>
  </w:num>
  <w:num w:numId="3" w16cid:durableId="927007770">
    <w:abstractNumId w:val="0"/>
  </w:num>
  <w:num w:numId="4" w16cid:durableId="1675499908">
    <w:abstractNumId w:val="1"/>
  </w:num>
  <w:num w:numId="5" w16cid:durableId="772433481">
    <w:abstractNumId w:val="3"/>
  </w:num>
  <w:num w:numId="6" w16cid:durableId="573049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E0E"/>
    <w:rsid w:val="00470E0E"/>
    <w:rsid w:val="005C4FC6"/>
    <w:rsid w:val="006C50C6"/>
    <w:rsid w:val="00DB74C6"/>
    <w:rsid w:val="00F2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414E"/>
  <w15:docId w15:val="{B4796A16-9EBB-4DFA-BD3C-5C4ECC05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A">
    <w:name w:val="Nagłówek i stopk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B">
    <w:name w:val="Domyślne B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AA3034"/>
      <w:u w:val="single" w:color="AA3034"/>
      <w:lang w:val="en-US"/>
    </w:rPr>
  </w:style>
  <w:style w:type="numbering" w:customStyle="1" w:styleId="Zaimportowanystyl1">
    <w:name w:val="Zaimportowany styl 1"/>
    <w:pPr>
      <w:numPr>
        <w:numId w:val="1"/>
      </w:numPr>
    </w:pPr>
  </w:style>
  <w:style w:type="character" w:customStyle="1" w:styleId="Hyperlink1">
    <w:name w:val="Hyperlink.1"/>
    <w:basedOn w:val="Hipercze"/>
    <w:rPr>
      <w:outline w:val="0"/>
      <w:color w:val="0000FF"/>
      <w:u w:val="single" w:color="0000FF"/>
    </w:rPr>
  </w:style>
  <w:style w:type="character" w:customStyle="1" w:styleId="Hyperlink2">
    <w:name w:val="Hyperlink.2"/>
    <w:basedOn w:val="Brak"/>
    <w:rPr>
      <w:u w:val="single" w:color="AA3034"/>
      <w:lang w:val="en-US"/>
    </w:rPr>
  </w:style>
  <w:style w:type="character" w:customStyle="1" w:styleId="Hyperlink3">
    <w:name w:val="Hyperlink.3"/>
    <w:basedOn w:val="Brak"/>
    <w:rPr>
      <w:u w:val="single"/>
      <w:lang w:val="nl-NL"/>
    </w:rPr>
  </w:style>
  <w:style w:type="character" w:customStyle="1" w:styleId="Hyperlink4">
    <w:name w:val="Hyperlink.4"/>
    <w:basedOn w:val="Brak"/>
    <w:rPr>
      <w:u w:val="single"/>
      <w:lang w:val="en-US"/>
    </w:rPr>
  </w:style>
  <w:style w:type="paragraph" w:styleId="Akapitzlist">
    <w:name w:val="List Paragraph"/>
    <w:basedOn w:val="Normalny"/>
    <w:uiPriority w:val="34"/>
    <w:qFormat/>
    <w:rsid w:val="005C4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openmindedgroup.pl" TargetMode="External"/><Relationship Id="rId13" Type="http://schemas.openxmlformats.org/officeDocument/2006/relationships/hyperlink" Target="http://www.facebook.com/businesscentreclu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cc.org.pl/wp-content/uploads/raport-bcc-dla-gospodarki.pdf" TargetMode="External"/><Relationship Id="rId12" Type="http://schemas.openxmlformats.org/officeDocument/2006/relationships/hyperlink" Target="http://www.linkedin.com/company/business-centre-club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krzysztof.kopec@bc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ata.stefanowska@bcc.pl" TargetMode="External"/><Relationship Id="rId14" Type="http://schemas.openxmlformats.org/officeDocument/2006/relationships/hyperlink" Target="http://www.twitter.com/BCC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1300</Words>
  <Characters>7805</Characters>
  <Application>Microsoft Office Word</Application>
  <DocSecurity>0</DocSecurity>
  <Lines>65</Lines>
  <Paragraphs>18</Paragraphs>
  <ScaleCrop>false</ScaleCrop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Stefanowska Renata</dc:creator>
  <cp:lastModifiedBy>Rybińska–Fliszkiewicz Joanna</cp:lastModifiedBy>
  <cp:revision>3</cp:revision>
  <dcterms:created xsi:type="dcterms:W3CDTF">2023-07-28T10:15:00Z</dcterms:created>
  <dcterms:modified xsi:type="dcterms:W3CDTF">2023-07-31T09:30:00Z</dcterms:modified>
</cp:coreProperties>
</file>