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993A" w14:textId="77777777" w:rsidR="00286ABF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  <w:t>31.01.2024 r. Warszawa</w:t>
      </w:r>
    </w:p>
    <w:p w14:paraId="53600A54" w14:textId="77777777" w:rsidR="00286ABF" w:rsidRDefault="00286AB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26792490" w14:textId="77777777" w:rsidR="00286ABF" w:rsidRDefault="00000000">
      <w:pPr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0642E7F" wp14:editId="2E589DF9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07C7F4F" w14:textId="77777777" w:rsidR="00286ABF" w:rsidRDefault="00286ABF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132CA8C2" w14:textId="77777777" w:rsidR="00286ABF" w:rsidRDefault="00286ABF">
      <w:pPr>
        <w:jc w:val="both"/>
        <w:rPr>
          <w:rFonts w:ascii="Arial" w:eastAsia="Arial" w:hAnsi="Arial" w:cs="Arial"/>
          <w:b/>
          <w:bCs/>
          <w:i/>
          <w:iCs/>
          <w:caps/>
          <w:sz w:val="26"/>
          <w:szCs w:val="26"/>
          <w:u w:val="single"/>
        </w:rPr>
      </w:pPr>
    </w:p>
    <w:p w14:paraId="3352D0A7" w14:textId="77777777" w:rsidR="00286ABF" w:rsidRDefault="00000000">
      <w:pPr>
        <w:spacing w:line="264" w:lineRule="auto"/>
        <w:jc w:val="center"/>
        <w:rPr>
          <w:rFonts w:ascii="Arial Black" w:eastAsia="Arial Black" w:hAnsi="Arial Black" w:cs="Arial Black"/>
          <w:caps/>
          <w:color w:val="B02F34"/>
          <w:sz w:val="26"/>
          <w:szCs w:val="26"/>
          <w:u w:color="B02F34"/>
          <w:lang w:val="de-DE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  <w:lang w:val="de-DE"/>
        </w:rPr>
        <w:t>Rok 2023:   Dane GUS dotyczące niemal zerowego wzrostu PKB  potwierdzają przewidywania</w:t>
      </w:r>
    </w:p>
    <w:p w14:paraId="0B1B56A9" w14:textId="77777777" w:rsidR="00286ABF" w:rsidRDefault="00286ABF">
      <w:pPr>
        <w:spacing w:line="264" w:lineRule="auto"/>
        <w:jc w:val="center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32D84984" w14:textId="77777777" w:rsidR="00286ABF" w:rsidRDefault="00000000">
      <w:pPr>
        <w:suppressAutoHyphens/>
        <w:spacing w:after="160" w:line="264" w:lineRule="auto"/>
        <w:jc w:val="both"/>
        <w:rPr>
          <w:rFonts w:ascii="Arial" w:eastAsia="Arial" w:hAnsi="Arial" w:cs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Długofalowy trend wzrostu realnego PKB Polski na mieszkańca w okresie transformacji                  w latach 1992-2021 wynosił 3,5 proc. W tym okresie miały miejsce znaczne odchylenia od trendu. Znaczne odchylenia dotyczyły także ostatnich </w:t>
      </w:r>
      <w:proofErr w:type="spellStart"/>
      <w:r>
        <w:rPr>
          <w:rFonts w:ascii="Arial" w:hAnsi="Arial"/>
          <w:kern w:val="2"/>
          <w:sz w:val="22"/>
          <w:szCs w:val="22"/>
        </w:rPr>
        <w:t>dw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kern w:val="2"/>
          <w:sz w:val="22"/>
          <w:szCs w:val="22"/>
        </w:rPr>
        <w:t>ch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lat, z tempami 5,3 proc. w roku 2022 i 0,3 proc. w roku 2023, czyli średniorocznie 2,75 proc. </w:t>
      </w:r>
    </w:p>
    <w:p w14:paraId="2E8928AB" w14:textId="77777777" w:rsidR="00286ABF" w:rsidRDefault="00000000">
      <w:pPr>
        <w:suppressAutoHyphens/>
        <w:spacing w:after="160" w:line="264" w:lineRule="auto"/>
        <w:jc w:val="both"/>
        <w:rPr>
          <w:rFonts w:ascii="Arial" w:eastAsia="Arial" w:hAnsi="Arial" w:cs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Stagnacja w roku 2023 była spowodowana głównie spadkiem popytu krajowego, którego najważniejszą część stanowi popyt konsumpcyjny. Z kolei ten spadek był spowodowany głównie obniżeniem płac realnych w reakcji na zaostrzenie polityki antyinflacyjnej </w:t>
      </w:r>
      <w:r>
        <w:rPr>
          <w:rFonts w:ascii="Arial" w:hAnsi="Arial"/>
          <w:kern w:val="2"/>
          <w:sz w:val="22"/>
          <w:szCs w:val="22"/>
          <w:lang w:val="es-ES_tradnl"/>
        </w:rPr>
        <w:t xml:space="preserve">RPP </w:t>
      </w:r>
      <w:r>
        <w:rPr>
          <w:rFonts w:ascii="Arial" w:hAnsi="Arial"/>
          <w:kern w:val="2"/>
          <w:sz w:val="22"/>
          <w:szCs w:val="22"/>
        </w:rPr>
        <w:t xml:space="preserve">                       i  rządu. Więc chociaż nie mieliśmy wzrostu PKB, to miał miejsce dość szybki spadek inflacji.</w:t>
      </w:r>
    </w:p>
    <w:p w14:paraId="5EE9E82F" w14:textId="77777777" w:rsidR="00286ABF" w:rsidRDefault="00000000">
      <w:pPr>
        <w:suppressAutoHyphens/>
        <w:spacing w:after="160" w:line="264" w:lineRule="auto"/>
        <w:jc w:val="both"/>
        <w:rPr>
          <w:rFonts w:ascii="Arial" w:eastAsia="Arial" w:hAnsi="Arial" w:cs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W roku 2024 ma mieć miejsce dość znaczne poluzowanie polityki fiskalnej. To poluzowanie może zahamować spadek inflacji i podnieść nieco tempo wzrostu PKB.</w:t>
      </w:r>
    </w:p>
    <w:p w14:paraId="4E7D3887" w14:textId="77777777" w:rsidR="00286ABF" w:rsidRDefault="00000000">
      <w:pPr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Ponieważ w krajach technologicznie wysokorozwiniętych (USA, Niemcy, Japonia) trend wzrostu PKB na mieszkańca  przez ostatnie 200 lat to około 1,5 proc.</w:t>
      </w:r>
      <w:r w:rsidRPr="009A6C70">
        <w:rPr>
          <w:rFonts w:ascii="Arial" w:hAnsi="Arial"/>
          <w:kern w:val="2"/>
          <w:sz w:val="22"/>
          <w:szCs w:val="22"/>
        </w:rPr>
        <w:t>, wi</w:t>
      </w:r>
      <w:r>
        <w:rPr>
          <w:rFonts w:ascii="Arial" w:hAnsi="Arial"/>
          <w:kern w:val="2"/>
          <w:sz w:val="22"/>
          <w:szCs w:val="22"/>
        </w:rPr>
        <w:t xml:space="preserve">ęc  bardzo ważnym,                w istocie kluczowym, efektem polskiej transformacji  </w:t>
      </w:r>
      <w:r>
        <w:rPr>
          <w:rFonts w:ascii="Arial" w:hAnsi="Arial"/>
          <w:kern w:val="2"/>
          <w:sz w:val="22"/>
          <w:szCs w:val="22"/>
          <w:lang w:val="it-IT"/>
        </w:rPr>
        <w:t>dot</w:t>
      </w:r>
      <w:proofErr w:type="spellStart"/>
      <w:r>
        <w:rPr>
          <w:rFonts w:ascii="Arial" w:hAnsi="Arial"/>
          <w:kern w:val="2"/>
          <w:sz w:val="22"/>
          <w:szCs w:val="22"/>
        </w:rPr>
        <w:t>ą</w:t>
      </w:r>
      <w:r w:rsidRPr="009A6C70">
        <w:rPr>
          <w:rFonts w:ascii="Arial" w:hAnsi="Arial"/>
          <w:kern w:val="2"/>
          <w:sz w:val="22"/>
          <w:szCs w:val="22"/>
        </w:rPr>
        <w:t>d</w:t>
      </w:r>
      <w:proofErr w:type="spellEnd"/>
      <w:r w:rsidRPr="009A6C70">
        <w:rPr>
          <w:rFonts w:ascii="Arial" w:hAnsi="Arial"/>
          <w:kern w:val="2"/>
          <w:sz w:val="22"/>
          <w:szCs w:val="22"/>
        </w:rPr>
        <w:t xml:space="preserve"> by</w:t>
      </w:r>
      <w:r>
        <w:rPr>
          <w:rFonts w:ascii="Arial" w:hAnsi="Arial"/>
          <w:kern w:val="2"/>
          <w:sz w:val="22"/>
          <w:szCs w:val="22"/>
        </w:rPr>
        <w:t>ło znaczne zmniejszenie luki dochodowej Polski wobec tych kraj</w:t>
      </w:r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w . Polska jest nadal </w:t>
      </w:r>
      <w:proofErr w:type="spellStart"/>
      <w:r>
        <w:rPr>
          <w:rFonts w:ascii="Arial" w:hAnsi="Arial"/>
          <w:kern w:val="2"/>
          <w:sz w:val="22"/>
          <w:szCs w:val="22"/>
        </w:rPr>
        <w:t>tzw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krajem doganiającym, ale wraz ze spadkiem tej  międzynarodowej luki musi nastąpić także spadek polskiego tempa wzrostu PKB na mieszkań</w:t>
      </w:r>
      <w:r>
        <w:rPr>
          <w:rFonts w:ascii="Arial" w:hAnsi="Arial"/>
          <w:kern w:val="2"/>
          <w:sz w:val="22"/>
          <w:szCs w:val="22"/>
          <w:lang w:val="it-IT"/>
        </w:rPr>
        <w:t>ca.</w:t>
      </w:r>
      <w:r>
        <w:rPr>
          <w:rFonts w:ascii="Arial" w:hAnsi="Arial"/>
          <w:kern w:val="2"/>
          <w:sz w:val="22"/>
          <w:szCs w:val="22"/>
        </w:rPr>
        <w:t>  Spadek średniego  tempa wzrostu w  latach 2022- 2023  może już być, choć zapewne tylko w jakimś niewielkim stopniu,  początkiem tego spadkowego trendu. </w:t>
      </w:r>
    </w:p>
    <w:p w14:paraId="34EE6AA3" w14:textId="13A03D61" w:rsidR="00286ABF" w:rsidRDefault="00000000">
      <w:pPr>
        <w:suppressAutoHyphens/>
        <w:spacing w:after="160" w:line="264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 xml:space="preserve">Dopiero najbliższe lata pokażą, czy tempo wzrostu PKB zbliży się do 3,5 proc . Zależeć </w:t>
      </w:r>
      <w:r w:rsidRPr="009A6C70">
        <w:rPr>
          <w:rFonts w:ascii="Arial" w:hAnsi="Arial"/>
          <w:kern w:val="2"/>
          <w:sz w:val="22"/>
          <w:szCs w:val="22"/>
        </w:rPr>
        <w:t>to b</w:t>
      </w:r>
      <w:r>
        <w:rPr>
          <w:rFonts w:ascii="Arial" w:hAnsi="Arial"/>
          <w:kern w:val="2"/>
          <w:sz w:val="22"/>
          <w:szCs w:val="22"/>
        </w:rPr>
        <w:t>ędzie</w:t>
      </w:r>
      <w:r w:rsidR="009A6C70">
        <w:rPr>
          <w:rFonts w:ascii="Arial" w:hAnsi="Arial"/>
          <w:kern w:val="2"/>
          <w:sz w:val="22"/>
          <w:szCs w:val="22"/>
        </w:rPr>
        <w:t xml:space="preserve"> </w:t>
      </w:r>
      <w:r>
        <w:rPr>
          <w:rFonts w:ascii="Arial" w:hAnsi="Arial"/>
          <w:kern w:val="2"/>
          <w:sz w:val="22"/>
          <w:szCs w:val="22"/>
        </w:rPr>
        <w:t xml:space="preserve">głównie od wielkości inwestycji w relacji do PKB, </w:t>
      </w:r>
      <w:proofErr w:type="spellStart"/>
      <w:r>
        <w:rPr>
          <w:rFonts w:ascii="Arial" w:hAnsi="Arial"/>
          <w:kern w:val="2"/>
          <w:sz w:val="22"/>
          <w:szCs w:val="22"/>
        </w:rPr>
        <w:t>szczeg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>lnie wysokowydajnych  inwestycji zagranicznych, oraz od zmniejszenia liczby zatrudnionych w małych i nisko wydajnych gospodarstwach rolnych.</w:t>
      </w:r>
    </w:p>
    <w:p w14:paraId="397DAFA7" w14:textId="77777777" w:rsidR="00286ABF" w:rsidRDefault="00286ABF">
      <w:pPr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25C87B9A" w14:textId="77777777" w:rsidR="00286ABF" w:rsidRDefault="00000000">
      <w:pPr>
        <w:spacing w:line="20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173A85EF" w14:textId="77777777" w:rsidR="00286ABF" w:rsidRDefault="00286ABF">
      <w:pPr>
        <w:spacing w:line="20" w:lineRule="atLeast"/>
        <w:jc w:val="both"/>
      </w:pPr>
    </w:p>
    <w:p w14:paraId="3B30E423" w14:textId="77777777" w:rsidR="00286ABF" w:rsidRDefault="00000000">
      <w:pPr>
        <w:spacing w:after="200" w:line="20" w:lineRule="atLeast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4C8EC5AF" w14:textId="2CC342FE" w:rsidR="00286ABF" w:rsidRPr="009A6C70" w:rsidRDefault="00000000">
      <w:pPr>
        <w:spacing w:after="200" w:line="20" w:lineRule="atLeast"/>
        <w:rPr>
          <w:rStyle w:val="BrakA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8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18B11926" wp14:editId="5D1E896A">
            <wp:simplePos x="0" y="0"/>
            <wp:positionH relativeFrom="margin">
              <wp:posOffset>-6349</wp:posOffset>
            </wp:positionH>
            <wp:positionV relativeFrom="line">
              <wp:posOffset>326983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429641" w14:textId="77777777" w:rsidR="00286ABF" w:rsidRDefault="00286ABF">
      <w:pPr>
        <w:pBdr>
          <w:top w:val="single" w:sz="4" w:space="0" w:color="000000"/>
        </w:pBd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418B009F" w14:textId="77777777" w:rsidR="00286ABF" w:rsidRDefault="00000000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0CA3B8C5" w14:textId="77777777" w:rsidR="00286ABF" w:rsidRDefault="00286ABF">
      <w:pPr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7FF40B58" w14:textId="77777777" w:rsidR="00286ABF" w:rsidRDefault="00000000">
      <w:pPr>
        <w:spacing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0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1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3"/>
          </w:rPr>
          <w:t>Twitter &gt;</w:t>
        </w:r>
      </w:hyperlink>
    </w:p>
    <w:sectPr w:rsidR="00286ABF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7C0" w14:textId="77777777" w:rsidR="00EC2D96" w:rsidRDefault="00EC2D96">
      <w:r>
        <w:separator/>
      </w:r>
    </w:p>
  </w:endnote>
  <w:endnote w:type="continuationSeparator" w:id="0">
    <w:p w14:paraId="2D4D58BD" w14:textId="77777777" w:rsidR="00EC2D96" w:rsidRDefault="00EC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D950" w14:textId="77777777" w:rsidR="00286ABF" w:rsidRDefault="00286AB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5D77" w14:textId="77777777" w:rsidR="00EC2D96" w:rsidRDefault="00EC2D96">
      <w:r>
        <w:separator/>
      </w:r>
    </w:p>
  </w:footnote>
  <w:footnote w:type="continuationSeparator" w:id="0">
    <w:p w14:paraId="41E50124" w14:textId="77777777" w:rsidR="00EC2D96" w:rsidRDefault="00EC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B29B" w14:textId="77777777" w:rsidR="00286ABF" w:rsidRDefault="00286AB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BF"/>
    <w:rsid w:val="00286ABF"/>
    <w:rsid w:val="009A6C70"/>
    <w:rsid w:val="009F3A7B"/>
    <w:rsid w:val="00E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917E"/>
  <w15:docId w15:val="{C76B88CF-49D6-4D3B-A955-BC40399A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2024-02-01T10:50:00Z</dcterms:created>
  <dcterms:modified xsi:type="dcterms:W3CDTF">2024-02-01T10:51:00Z</dcterms:modified>
</cp:coreProperties>
</file>