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1993A" w14:textId="77777777" w:rsidR="00286ABF" w:rsidRDefault="0000000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Style w:val="BrakA"/>
        </w:rPr>
        <w:t xml:space="preserve">                                                       </w:t>
      </w:r>
      <w:r>
        <w:rPr>
          <w:rStyle w:val="BrakA"/>
        </w:rPr>
        <w:tab/>
      </w:r>
      <w:r>
        <w:rPr>
          <w:rStyle w:val="BrakA"/>
        </w:rPr>
        <w:tab/>
      </w:r>
      <w:r>
        <w:rPr>
          <w:rStyle w:val="BrakA"/>
        </w:rPr>
        <w:tab/>
      </w:r>
      <w:r>
        <w:rPr>
          <w:rStyle w:val="BrakA"/>
        </w:rPr>
        <w:tab/>
      </w:r>
      <w:r>
        <w:rPr>
          <w:rStyle w:val="BrakA"/>
        </w:rPr>
        <w:tab/>
        <w:t>31.01.2024 r. Warszawa</w:t>
      </w:r>
    </w:p>
    <w:p w14:paraId="53600A54" w14:textId="77777777" w:rsidR="00286ABF" w:rsidRDefault="00286ABF">
      <w:pPr>
        <w:jc w:val="both"/>
        <w:rPr>
          <w:rFonts w:ascii="Arial" w:eastAsia="Arial" w:hAnsi="Arial" w:cs="Arial"/>
          <w:b/>
          <w:bCs/>
          <w:i/>
          <w:iCs/>
          <w:sz w:val="24"/>
          <w:szCs w:val="24"/>
          <w:u w:val="single"/>
        </w:rPr>
      </w:pPr>
    </w:p>
    <w:p w14:paraId="26792490" w14:textId="77777777" w:rsidR="00286ABF" w:rsidRDefault="00000000">
      <w:pPr>
        <w:jc w:val="both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ab/>
        <w:t xml:space="preserve">              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 wp14:anchorId="50642E7F" wp14:editId="2E589DF9">
            <wp:extent cx="1964434" cy="715316"/>
            <wp:effectExtent l="0" t="0" r="0" b="0"/>
            <wp:docPr id="1073741825" name="officeArt object" descr="Obraz zawierający tekst, Czcionka, logo, Grafika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braz zawierający tekst, Czcionka, logo, Grafika&#10;&#10;Opis wygenerowany automatycznie" descr="Obraz zawierający tekst, Czcionka, logo, GrafikaOpis wygenerowany automatyczni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64434" cy="7153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07C7F4F" w14:textId="77777777" w:rsidR="00286ABF" w:rsidRDefault="00286ABF">
      <w:pPr>
        <w:jc w:val="both"/>
        <w:rPr>
          <w:rFonts w:ascii="Arial" w:eastAsia="Arial" w:hAnsi="Arial" w:cs="Arial"/>
          <w:b/>
          <w:bCs/>
          <w:i/>
          <w:iCs/>
          <w:sz w:val="24"/>
          <w:szCs w:val="24"/>
          <w:u w:val="single"/>
        </w:rPr>
      </w:pPr>
    </w:p>
    <w:p w14:paraId="132CA8C2" w14:textId="77777777" w:rsidR="00286ABF" w:rsidRDefault="00286ABF">
      <w:pPr>
        <w:jc w:val="both"/>
        <w:rPr>
          <w:rFonts w:ascii="Arial" w:eastAsia="Arial" w:hAnsi="Arial" w:cs="Arial"/>
          <w:b/>
          <w:bCs/>
          <w:i/>
          <w:iCs/>
          <w:caps/>
          <w:sz w:val="26"/>
          <w:szCs w:val="26"/>
          <w:u w:val="single"/>
        </w:rPr>
      </w:pPr>
    </w:p>
    <w:p w14:paraId="3352D0A7" w14:textId="77777777" w:rsidR="00286ABF" w:rsidRDefault="00000000">
      <w:pPr>
        <w:spacing w:line="264" w:lineRule="auto"/>
        <w:jc w:val="center"/>
        <w:rPr>
          <w:rFonts w:ascii="Arial Black" w:eastAsia="Arial Black" w:hAnsi="Arial Black" w:cs="Arial Black"/>
          <w:caps/>
          <w:color w:val="B02F34"/>
          <w:sz w:val="26"/>
          <w:szCs w:val="26"/>
          <w:u w:color="B02F34"/>
          <w:lang w:val="de-DE"/>
        </w:rPr>
      </w:pPr>
      <w:r>
        <w:rPr>
          <w:rFonts w:ascii="Arial Black" w:hAnsi="Arial Black"/>
          <w:caps/>
          <w:color w:val="B02F34"/>
          <w:sz w:val="26"/>
          <w:szCs w:val="26"/>
          <w:u w:color="B02F34"/>
          <w:lang w:val="de-DE"/>
        </w:rPr>
        <w:t>Rok 2023:   Dane GUS dotyczące niemal zerowego wzrostu PKB  potwierdzają przewidywania</w:t>
      </w:r>
    </w:p>
    <w:p w14:paraId="0B1B56A9" w14:textId="77777777" w:rsidR="00286ABF" w:rsidRDefault="00286ABF">
      <w:pPr>
        <w:spacing w:line="264" w:lineRule="auto"/>
        <w:jc w:val="center"/>
        <w:rPr>
          <w:rFonts w:ascii="Arial" w:eastAsia="Arial" w:hAnsi="Arial" w:cs="Arial"/>
          <w:b/>
          <w:bCs/>
          <w:kern w:val="2"/>
          <w:sz w:val="22"/>
          <w:szCs w:val="22"/>
        </w:rPr>
      </w:pPr>
    </w:p>
    <w:p w14:paraId="32D84984" w14:textId="77777777" w:rsidR="00286ABF" w:rsidRDefault="00000000">
      <w:pPr>
        <w:suppressAutoHyphens/>
        <w:spacing w:after="160" w:line="264" w:lineRule="auto"/>
        <w:jc w:val="both"/>
        <w:rPr>
          <w:rFonts w:ascii="Arial" w:eastAsia="Arial" w:hAnsi="Arial" w:cs="Arial"/>
          <w:kern w:val="2"/>
          <w:sz w:val="22"/>
          <w:szCs w:val="22"/>
        </w:rPr>
      </w:pPr>
      <w:r>
        <w:rPr>
          <w:rFonts w:ascii="Arial" w:hAnsi="Arial"/>
          <w:kern w:val="2"/>
          <w:sz w:val="22"/>
          <w:szCs w:val="22"/>
        </w:rPr>
        <w:t xml:space="preserve">Długofalowy trend wzrostu realnego PKB Polski na mieszkańca w okresie transformacji                  w latach 1992-2021 wynosił 3,5 proc. W tym okresie miały miejsce znaczne odchylenia od trendu. Znaczne odchylenia dotyczyły także ostatnich </w:t>
      </w:r>
      <w:proofErr w:type="spellStart"/>
      <w:r>
        <w:rPr>
          <w:rFonts w:ascii="Arial" w:hAnsi="Arial"/>
          <w:kern w:val="2"/>
          <w:sz w:val="22"/>
          <w:szCs w:val="22"/>
        </w:rPr>
        <w:t>dw</w:t>
      </w:r>
      <w:proofErr w:type="spellEnd"/>
      <w:r>
        <w:rPr>
          <w:rFonts w:ascii="Arial" w:hAnsi="Arial"/>
          <w:kern w:val="2"/>
          <w:sz w:val="22"/>
          <w:szCs w:val="22"/>
          <w:lang w:val="es-ES_tradnl"/>
        </w:rPr>
        <w:t>ó</w:t>
      </w:r>
      <w:proofErr w:type="spellStart"/>
      <w:r>
        <w:rPr>
          <w:rFonts w:ascii="Arial" w:hAnsi="Arial"/>
          <w:kern w:val="2"/>
          <w:sz w:val="22"/>
          <w:szCs w:val="22"/>
        </w:rPr>
        <w:t>ch</w:t>
      </w:r>
      <w:proofErr w:type="spellEnd"/>
      <w:r>
        <w:rPr>
          <w:rFonts w:ascii="Arial" w:hAnsi="Arial"/>
          <w:kern w:val="2"/>
          <w:sz w:val="22"/>
          <w:szCs w:val="22"/>
        </w:rPr>
        <w:t xml:space="preserve"> lat, z tempami 5,3 proc. w roku 2022 i 0,3 proc. w roku 2023, czyli średniorocznie 2,75 proc. </w:t>
      </w:r>
    </w:p>
    <w:p w14:paraId="2E8928AB" w14:textId="77777777" w:rsidR="00286ABF" w:rsidRDefault="00000000">
      <w:pPr>
        <w:suppressAutoHyphens/>
        <w:spacing w:after="160" w:line="264" w:lineRule="auto"/>
        <w:jc w:val="both"/>
        <w:rPr>
          <w:rFonts w:ascii="Arial" w:eastAsia="Arial" w:hAnsi="Arial" w:cs="Arial"/>
          <w:kern w:val="2"/>
          <w:sz w:val="22"/>
          <w:szCs w:val="22"/>
        </w:rPr>
      </w:pPr>
      <w:r>
        <w:rPr>
          <w:rFonts w:ascii="Arial" w:hAnsi="Arial"/>
          <w:kern w:val="2"/>
          <w:sz w:val="22"/>
          <w:szCs w:val="22"/>
        </w:rPr>
        <w:t xml:space="preserve">Stagnacja w roku 2023 była spowodowana głównie spadkiem popytu krajowego, którego najważniejszą część stanowi popyt konsumpcyjny. Z kolei ten spadek był spowodowany głównie obniżeniem płac realnych w reakcji na zaostrzenie polityki antyinflacyjnej </w:t>
      </w:r>
      <w:r>
        <w:rPr>
          <w:rFonts w:ascii="Arial" w:hAnsi="Arial"/>
          <w:kern w:val="2"/>
          <w:sz w:val="22"/>
          <w:szCs w:val="22"/>
          <w:lang w:val="es-ES_tradnl"/>
        </w:rPr>
        <w:t xml:space="preserve">RPP </w:t>
      </w:r>
      <w:r>
        <w:rPr>
          <w:rFonts w:ascii="Arial" w:hAnsi="Arial"/>
          <w:kern w:val="2"/>
          <w:sz w:val="22"/>
          <w:szCs w:val="22"/>
        </w:rPr>
        <w:t xml:space="preserve">                       i  rządu. Więc chociaż nie mieliśmy wzrostu PKB, to miał miejsce dość szybki spadek inflacji.</w:t>
      </w:r>
    </w:p>
    <w:p w14:paraId="5EE9E82F" w14:textId="77777777" w:rsidR="00286ABF" w:rsidRDefault="00000000">
      <w:pPr>
        <w:suppressAutoHyphens/>
        <w:spacing w:after="160" w:line="264" w:lineRule="auto"/>
        <w:jc w:val="both"/>
        <w:rPr>
          <w:rFonts w:ascii="Arial" w:eastAsia="Arial" w:hAnsi="Arial" w:cs="Arial"/>
          <w:kern w:val="2"/>
          <w:sz w:val="22"/>
          <w:szCs w:val="22"/>
        </w:rPr>
      </w:pPr>
      <w:r>
        <w:rPr>
          <w:rFonts w:ascii="Arial" w:hAnsi="Arial"/>
          <w:kern w:val="2"/>
          <w:sz w:val="22"/>
          <w:szCs w:val="22"/>
        </w:rPr>
        <w:t>W roku 2024 ma mieć miejsce dość znaczne poluzowanie polityki fiskalnej. To poluzowanie może zahamować spadek inflacji i podnieść nieco tempo wzrostu PKB.</w:t>
      </w:r>
    </w:p>
    <w:p w14:paraId="4E7D3887" w14:textId="77777777" w:rsidR="00286ABF" w:rsidRDefault="00000000">
      <w:pPr>
        <w:suppressAutoHyphens/>
        <w:spacing w:after="160" w:line="264" w:lineRule="auto"/>
        <w:jc w:val="both"/>
        <w:rPr>
          <w:rFonts w:ascii="Arial" w:eastAsia="Arial" w:hAnsi="Arial" w:cs="Arial"/>
          <w:b/>
          <w:bCs/>
          <w:kern w:val="2"/>
          <w:sz w:val="22"/>
          <w:szCs w:val="22"/>
        </w:rPr>
      </w:pPr>
      <w:r>
        <w:rPr>
          <w:rFonts w:ascii="Arial" w:hAnsi="Arial"/>
          <w:kern w:val="2"/>
          <w:sz w:val="22"/>
          <w:szCs w:val="22"/>
        </w:rPr>
        <w:t>Ponieważ w krajach technologicznie wysokorozwiniętych (USA, Niemcy, Japonia) trend wzrostu PKB na mieszkańca  przez ostatnie 200 lat to około 1,5 proc.</w:t>
      </w:r>
      <w:r w:rsidRPr="009A6C70">
        <w:rPr>
          <w:rFonts w:ascii="Arial" w:hAnsi="Arial"/>
          <w:kern w:val="2"/>
          <w:sz w:val="22"/>
          <w:szCs w:val="22"/>
        </w:rPr>
        <w:t>, wi</w:t>
      </w:r>
      <w:r>
        <w:rPr>
          <w:rFonts w:ascii="Arial" w:hAnsi="Arial"/>
          <w:kern w:val="2"/>
          <w:sz w:val="22"/>
          <w:szCs w:val="22"/>
        </w:rPr>
        <w:t xml:space="preserve">ęc  bardzo ważnym,                w istocie kluczowym, efektem polskiej transformacji  </w:t>
      </w:r>
      <w:r>
        <w:rPr>
          <w:rFonts w:ascii="Arial" w:hAnsi="Arial"/>
          <w:kern w:val="2"/>
          <w:sz w:val="22"/>
          <w:szCs w:val="22"/>
          <w:lang w:val="it-IT"/>
        </w:rPr>
        <w:t>dot</w:t>
      </w:r>
      <w:proofErr w:type="spellStart"/>
      <w:r>
        <w:rPr>
          <w:rFonts w:ascii="Arial" w:hAnsi="Arial"/>
          <w:kern w:val="2"/>
          <w:sz w:val="22"/>
          <w:szCs w:val="22"/>
        </w:rPr>
        <w:t>ą</w:t>
      </w:r>
      <w:r w:rsidRPr="009A6C70">
        <w:rPr>
          <w:rFonts w:ascii="Arial" w:hAnsi="Arial"/>
          <w:kern w:val="2"/>
          <w:sz w:val="22"/>
          <w:szCs w:val="22"/>
        </w:rPr>
        <w:t>d</w:t>
      </w:r>
      <w:proofErr w:type="spellEnd"/>
      <w:r w:rsidRPr="009A6C70">
        <w:rPr>
          <w:rFonts w:ascii="Arial" w:hAnsi="Arial"/>
          <w:kern w:val="2"/>
          <w:sz w:val="22"/>
          <w:szCs w:val="22"/>
        </w:rPr>
        <w:t xml:space="preserve"> by</w:t>
      </w:r>
      <w:r>
        <w:rPr>
          <w:rFonts w:ascii="Arial" w:hAnsi="Arial"/>
          <w:kern w:val="2"/>
          <w:sz w:val="22"/>
          <w:szCs w:val="22"/>
        </w:rPr>
        <w:t>ło znaczne zmniejszenie luki dochodowej Polski wobec tych kraj</w:t>
      </w:r>
      <w:r>
        <w:rPr>
          <w:rFonts w:ascii="Arial" w:hAnsi="Arial"/>
          <w:kern w:val="2"/>
          <w:sz w:val="22"/>
          <w:szCs w:val="22"/>
          <w:lang w:val="es-ES_tradnl"/>
        </w:rPr>
        <w:t>ó</w:t>
      </w:r>
      <w:r>
        <w:rPr>
          <w:rFonts w:ascii="Arial" w:hAnsi="Arial"/>
          <w:kern w:val="2"/>
          <w:sz w:val="22"/>
          <w:szCs w:val="22"/>
        </w:rPr>
        <w:t xml:space="preserve">w . Polska jest nadal </w:t>
      </w:r>
      <w:proofErr w:type="spellStart"/>
      <w:r>
        <w:rPr>
          <w:rFonts w:ascii="Arial" w:hAnsi="Arial"/>
          <w:kern w:val="2"/>
          <w:sz w:val="22"/>
          <w:szCs w:val="22"/>
        </w:rPr>
        <w:t>tzw</w:t>
      </w:r>
      <w:proofErr w:type="spellEnd"/>
      <w:r>
        <w:rPr>
          <w:rFonts w:ascii="Arial" w:hAnsi="Arial"/>
          <w:kern w:val="2"/>
          <w:sz w:val="22"/>
          <w:szCs w:val="22"/>
        </w:rPr>
        <w:t xml:space="preserve"> krajem doganiającym, ale wraz ze spadkiem tej  międzynarodowej luki musi nastąpić także spadek polskiego tempa wzrostu PKB na mieszkań</w:t>
      </w:r>
      <w:r>
        <w:rPr>
          <w:rFonts w:ascii="Arial" w:hAnsi="Arial"/>
          <w:kern w:val="2"/>
          <w:sz w:val="22"/>
          <w:szCs w:val="22"/>
          <w:lang w:val="it-IT"/>
        </w:rPr>
        <w:t>ca.</w:t>
      </w:r>
      <w:r>
        <w:rPr>
          <w:rFonts w:ascii="Arial" w:hAnsi="Arial"/>
          <w:kern w:val="2"/>
          <w:sz w:val="22"/>
          <w:szCs w:val="22"/>
        </w:rPr>
        <w:t>  Spadek średniego  tempa wzrostu w  latach 2022- 2023  może już być, choć zapewne tylko w jakimś niewielkim stopniu,  początkiem tego spadkowego trendu. </w:t>
      </w:r>
    </w:p>
    <w:p w14:paraId="34EE6AA3" w14:textId="13A03D61" w:rsidR="00286ABF" w:rsidRDefault="00000000">
      <w:pPr>
        <w:suppressAutoHyphens/>
        <w:spacing w:after="160" w:line="264" w:lineRule="auto"/>
        <w:jc w:val="both"/>
        <w:rPr>
          <w:rFonts w:ascii="Arial" w:eastAsia="Arial" w:hAnsi="Arial" w:cs="Arial"/>
          <w:b/>
          <w:bCs/>
          <w:kern w:val="2"/>
          <w:sz w:val="22"/>
          <w:szCs w:val="22"/>
        </w:rPr>
      </w:pPr>
      <w:r>
        <w:rPr>
          <w:rFonts w:ascii="Arial" w:hAnsi="Arial"/>
          <w:kern w:val="2"/>
          <w:sz w:val="22"/>
          <w:szCs w:val="22"/>
        </w:rPr>
        <w:t xml:space="preserve">Dopiero najbliższe lata pokażą, czy tempo wzrostu PKB zbliży się do 3,5 proc . Zależeć </w:t>
      </w:r>
      <w:r w:rsidRPr="009A6C70">
        <w:rPr>
          <w:rFonts w:ascii="Arial" w:hAnsi="Arial"/>
          <w:kern w:val="2"/>
          <w:sz w:val="22"/>
          <w:szCs w:val="22"/>
        </w:rPr>
        <w:t>to b</w:t>
      </w:r>
      <w:r>
        <w:rPr>
          <w:rFonts w:ascii="Arial" w:hAnsi="Arial"/>
          <w:kern w:val="2"/>
          <w:sz w:val="22"/>
          <w:szCs w:val="22"/>
        </w:rPr>
        <w:t>ędzie</w:t>
      </w:r>
      <w:r w:rsidR="009A6C70">
        <w:rPr>
          <w:rFonts w:ascii="Arial" w:hAnsi="Arial"/>
          <w:kern w:val="2"/>
          <w:sz w:val="22"/>
          <w:szCs w:val="22"/>
        </w:rPr>
        <w:t xml:space="preserve"> </w:t>
      </w:r>
      <w:r>
        <w:rPr>
          <w:rFonts w:ascii="Arial" w:hAnsi="Arial"/>
          <w:kern w:val="2"/>
          <w:sz w:val="22"/>
          <w:szCs w:val="22"/>
        </w:rPr>
        <w:t xml:space="preserve">głównie od wielkości inwestycji w relacji do PKB, </w:t>
      </w:r>
      <w:proofErr w:type="spellStart"/>
      <w:r>
        <w:rPr>
          <w:rFonts w:ascii="Arial" w:hAnsi="Arial"/>
          <w:kern w:val="2"/>
          <w:sz w:val="22"/>
          <w:szCs w:val="22"/>
        </w:rPr>
        <w:t>szczeg</w:t>
      </w:r>
      <w:proofErr w:type="spellEnd"/>
      <w:r>
        <w:rPr>
          <w:rFonts w:ascii="Arial" w:hAnsi="Arial"/>
          <w:kern w:val="2"/>
          <w:sz w:val="22"/>
          <w:szCs w:val="22"/>
          <w:lang w:val="es-ES_tradnl"/>
        </w:rPr>
        <w:t>ó</w:t>
      </w:r>
      <w:r>
        <w:rPr>
          <w:rFonts w:ascii="Arial" w:hAnsi="Arial"/>
          <w:kern w:val="2"/>
          <w:sz w:val="22"/>
          <w:szCs w:val="22"/>
        </w:rPr>
        <w:t>lnie wysokowydajnych  inwestycji zagranicznych, oraz od zmniejszenia liczby zatrudnionych w małych i nisko wydajnych gospodarstwach rolnych.</w:t>
      </w:r>
    </w:p>
    <w:p w14:paraId="397DAFA7" w14:textId="77777777" w:rsidR="00286ABF" w:rsidRDefault="00286ABF">
      <w:pPr>
        <w:spacing w:line="253" w:lineRule="atLeast"/>
        <w:jc w:val="both"/>
        <w:rPr>
          <w:rFonts w:ascii="Arial" w:eastAsia="Arial" w:hAnsi="Arial" w:cs="Arial"/>
          <w:sz w:val="18"/>
          <w:szCs w:val="18"/>
        </w:rPr>
      </w:pPr>
    </w:p>
    <w:p w14:paraId="25C87B9A" w14:textId="77777777" w:rsidR="00286ABF" w:rsidRDefault="00000000">
      <w:pPr>
        <w:spacing w:line="20" w:lineRule="atLeast"/>
        <w:jc w:val="both"/>
        <w:rPr>
          <w:rFonts w:ascii="Arial" w:eastAsia="Arial" w:hAnsi="Arial" w:cs="Arial"/>
          <w:b/>
          <w:bCs/>
          <w:sz w:val="16"/>
          <w:szCs w:val="16"/>
          <w:u w:val="single"/>
        </w:rPr>
      </w:pPr>
      <w:r>
        <w:rPr>
          <w:rFonts w:ascii="Arial" w:hAnsi="Arial"/>
          <w:b/>
          <w:bCs/>
          <w:sz w:val="16"/>
          <w:szCs w:val="16"/>
          <w:u w:val="single"/>
        </w:rPr>
        <w:t xml:space="preserve">Kontakt dla </w:t>
      </w:r>
      <w:proofErr w:type="spellStart"/>
      <w:r>
        <w:rPr>
          <w:rFonts w:ascii="Arial" w:hAnsi="Arial"/>
          <w:b/>
          <w:bCs/>
          <w:sz w:val="16"/>
          <w:szCs w:val="16"/>
          <w:u w:val="single"/>
        </w:rPr>
        <w:t>medi</w:t>
      </w:r>
      <w:proofErr w:type="spellEnd"/>
      <w:r>
        <w:rPr>
          <w:rFonts w:ascii="Arial" w:hAnsi="Arial"/>
          <w:b/>
          <w:bCs/>
          <w:sz w:val="16"/>
          <w:szCs w:val="16"/>
          <w:u w:val="single"/>
          <w:lang w:val="es-ES_tradnl"/>
        </w:rPr>
        <w:t>ó</w:t>
      </w:r>
      <w:r>
        <w:rPr>
          <w:rFonts w:ascii="Arial" w:hAnsi="Arial"/>
          <w:b/>
          <w:bCs/>
          <w:sz w:val="16"/>
          <w:szCs w:val="16"/>
          <w:u w:val="single"/>
        </w:rPr>
        <w:t>w:</w:t>
      </w:r>
    </w:p>
    <w:p w14:paraId="173A85EF" w14:textId="77777777" w:rsidR="00286ABF" w:rsidRDefault="00286ABF">
      <w:pPr>
        <w:spacing w:line="20" w:lineRule="atLeast"/>
        <w:jc w:val="both"/>
      </w:pPr>
    </w:p>
    <w:p w14:paraId="3B30E423" w14:textId="77777777" w:rsidR="00286ABF" w:rsidRDefault="00000000">
      <w:pPr>
        <w:spacing w:after="200" w:line="20" w:lineRule="atLeast"/>
        <w:rPr>
          <w:rStyle w:val="Brak"/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Agencja Open Minded Group: </w:t>
      </w:r>
      <w:hyperlink r:id="rId7" w:history="1">
        <w:r>
          <w:rPr>
            <w:rStyle w:val="Hyperlink0"/>
          </w:rPr>
          <w:t>pr@openmindedgroup.pl</w:t>
        </w:r>
      </w:hyperlink>
    </w:p>
    <w:p w14:paraId="4C8EC5AF" w14:textId="2CC342FE" w:rsidR="00286ABF" w:rsidRPr="009A6C70" w:rsidRDefault="00000000">
      <w:pPr>
        <w:spacing w:after="200" w:line="20" w:lineRule="atLeast"/>
        <w:rPr>
          <w:rStyle w:val="BrakA"/>
          <w:rFonts w:ascii="Arial" w:eastAsia="Arial" w:hAnsi="Arial" w:cs="Arial"/>
          <w:sz w:val="16"/>
          <w:szCs w:val="16"/>
        </w:rPr>
      </w:pPr>
      <w:r>
        <w:rPr>
          <w:rStyle w:val="Brak"/>
          <w:rFonts w:ascii="Arial" w:hAnsi="Arial"/>
          <w:sz w:val="16"/>
          <w:szCs w:val="16"/>
        </w:rPr>
        <w:t xml:space="preserve">Renta Stefanowska (BCC): </w:t>
      </w:r>
      <w:hyperlink r:id="rId8" w:history="1">
        <w:r>
          <w:rPr>
            <w:rStyle w:val="Hyperlink1"/>
          </w:rPr>
          <w:t>renata.stefanowska@bcc.pl</w:t>
        </w:r>
      </w:hyperlink>
      <w:r>
        <w:rPr>
          <w:rStyle w:val="Brak"/>
          <w:rFonts w:ascii="Arial" w:hAnsi="Arial"/>
          <w:sz w:val="16"/>
          <w:szCs w:val="16"/>
        </w:rPr>
        <w:t xml:space="preserve">  </w:t>
      </w:r>
      <w:r>
        <w:rPr>
          <w:rStyle w:val="Brak"/>
          <w:rFonts w:ascii="Arial" w:eastAsia="Arial" w:hAnsi="Arial" w:cs="Arial"/>
          <w:noProof/>
          <w:sz w:val="16"/>
          <w:szCs w:val="16"/>
        </w:rPr>
        <w:drawing>
          <wp:anchor distT="57150" distB="57150" distL="57150" distR="57150" simplePos="0" relativeHeight="251659264" behindDoc="0" locked="0" layoutInCell="1" allowOverlap="1" wp14:anchorId="18B11926" wp14:editId="5D1E896A">
            <wp:simplePos x="0" y="0"/>
            <wp:positionH relativeFrom="margin">
              <wp:posOffset>-6349</wp:posOffset>
            </wp:positionH>
            <wp:positionV relativeFrom="line">
              <wp:posOffset>326983</wp:posOffset>
            </wp:positionV>
            <wp:extent cx="670560" cy="670560"/>
            <wp:effectExtent l="0" t="0" r="0" b="0"/>
            <wp:wrapSquare wrapText="bothSides" distT="57150" distB="57150" distL="57150" distR="57150"/>
            <wp:docPr id="1073741826" name="officeArt object" descr="Obraz zawierający wzór, kwadrat, Symetria, Prostokąt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braz zawierający wzór, kwadrat, Symetria, Prostokąt&#10;&#10;Opis wygenerowany automatycznie" descr="Obraz zawierający wzór, kwadrat, Symetria, ProstokątOpis wygenerowany automatycznie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6705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C429641" w14:textId="77777777" w:rsidR="00286ABF" w:rsidRDefault="00286ABF">
      <w:pPr>
        <w:pBdr>
          <w:top w:val="single" w:sz="4" w:space="0" w:color="000000"/>
        </w:pBdr>
        <w:spacing w:line="360" w:lineRule="auto"/>
        <w:rPr>
          <w:rStyle w:val="Brak"/>
          <w:rFonts w:ascii="Arial" w:eastAsia="Arial" w:hAnsi="Arial" w:cs="Arial"/>
          <w:sz w:val="16"/>
          <w:szCs w:val="16"/>
        </w:rPr>
      </w:pPr>
    </w:p>
    <w:p w14:paraId="418B009F" w14:textId="77777777" w:rsidR="00286ABF" w:rsidRDefault="00000000">
      <w:pPr>
        <w:spacing w:line="360" w:lineRule="auto"/>
        <w:rPr>
          <w:rStyle w:val="Brak"/>
          <w:rFonts w:ascii="Arial" w:eastAsia="Arial" w:hAnsi="Arial" w:cs="Arial"/>
          <w:sz w:val="16"/>
          <w:szCs w:val="16"/>
        </w:rPr>
      </w:pPr>
      <w:r>
        <w:rPr>
          <w:rStyle w:val="Brak"/>
          <w:rFonts w:ascii="Arial" w:hAnsi="Arial"/>
          <w:sz w:val="16"/>
          <w:szCs w:val="16"/>
        </w:rPr>
        <w:t xml:space="preserve">Business Centre Club to największa w kraju ustawowa organizacja indywidualnych </w:t>
      </w:r>
      <w:proofErr w:type="spellStart"/>
      <w:r>
        <w:rPr>
          <w:rStyle w:val="Brak"/>
          <w:rFonts w:ascii="Arial" w:hAnsi="Arial"/>
          <w:sz w:val="16"/>
          <w:szCs w:val="16"/>
        </w:rPr>
        <w:t>pracodawc</w:t>
      </w:r>
      <w:proofErr w:type="spellEnd"/>
      <w:r>
        <w:rPr>
          <w:rStyle w:val="Brak"/>
          <w:rFonts w:ascii="Arial" w:hAnsi="Arial"/>
          <w:sz w:val="16"/>
          <w:szCs w:val="16"/>
          <w:lang w:val="es-ES_tradnl"/>
        </w:rPr>
        <w:t>ó</w:t>
      </w:r>
      <w:r>
        <w:rPr>
          <w:rStyle w:val="Brak"/>
          <w:rFonts w:ascii="Arial" w:hAnsi="Arial"/>
          <w:sz w:val="16"/>
          <w:szCs w:val="16"/>
        </w:rPr>
        <w:t>w. Członkowie Klubu zatrudniają ponad 400 tys. pracownik</w:t>
      </w:r>
      <w:r>
        <w:rPr>
          <w:rStyle w:val="Brak"/>
          <w:rFonts w:ascii="Arial" w:hAnsi="Arial"/>
          <w:sz w:val="16"/>
          <w:szCs w:val="16"/>
          <w:lang w:val="es-ES_tradnl"/>
        </w:rPr>
        <w:t>ó</w:t>
      </w:r>
      <w:r>
        <w:rPr>
          <w:rStyle w:val="Brak"/>
          <w:rFonts w:ascii="Arial" w:hAnsi="Arial"/>
          <w:sz w:val="16"/>
          <w:szCs w:val="16"/>
        </w:rPr>
        <w:t>w, przychody firm to ponad 200 miliard</w:t>
      </w:r>
      <w:r>
        <w:rPr>
          <w:rStyle w:val="Brak"/>
          <w:rFonts w:ascii="Arial" w:hAnsi="Arial"/>
          <w:sz w:val="16"/>
          <w:szCs w:val="16"/>
          <w:lang w:val="es-ES_tradnl"/>
        </w:rPr>
        <w:t>ó</w:t>
      </w:r>
      <w:r>
        <w:rPr>
          <w:rStyle w:val="Brak"/>
          <w:rFonts w:ascii="Arial" w:hAnsi="Arial"/>
          <w:sz w:val="16"/>
          <w:szCs w:val="16"/>
        </w:rPr>
        <w:t xml:space="preserve">w złotych, a siedziby rozlokowane są w 250 miastach. Na terenie Polski działają 22 loże regionalne. Do BCC należą przedstawiciele wszystkich branż, międzynarodowe korporacje, instytucje finansowe i ubezpieczeniowe, firmy telekomunikacyjne, najwięksi polscy producenci, uczelnie wyższe, koncerny wydawnicze i znane kancelarie prawne. Członkami BCC – klubu </w:t>
      </w:r>
      <w:proofErr w:type="spellStart"/>
      <w:r>
        <w:rPr>
          <w:rStyle w:val="Brak"/>
          <w:rFonts w:ascii="Arial" w:hAnsi="Arial"/>
          <w:sz w:val="16"/>
          <w:szCs w:val="16"/>
        </w:rPr>
        <w:t>przedsiębiorc</w:t>
      </w:r>
      <w:proofErr w:type="spellEnd"/>
      <w:r>
        <w:rPr>
          <w:rStyle w:val="Brak"/>
          <w:rFonts w:ascii="Arial" w:hAnsi="Arial"/>
          <w:sz w:val="16"/>
          <w:szCs w:val="16"/>
          <w:lang w:val="es-ES_tradnl"/>
        </w:rPr>
        <w:t>ó</w:t>
      </w:r>
      <w:r>
        <w:rPr>
          <w:rStyle w:val="Brak"/>
          <w:rFonts w:ascii="Arial" w:hAnsi="Arial"/>
          <w:sz w:val="16"/>
          <w:szCs w:val="16"/>
        </w:rPr>
        <w:t xml:space="preserve">w są także prawnicy, dziennikarze, naukowcy, wydawcy, lekarze, wojskowi i studenci. </w:t>
      </w:r>
    </w:p>
    <w:p w14:paraId="0CA3B8C5" w14:textId="77777777" w:rsidR="00286ABF" w:rsidRDefault="00286ABF">
      <w:pPr>
        <w:spacing w:line="360" w:lineRule="auto"/>
        <w:rPr>
          <w:rStyle w:val="Brak"/>
          <w:rFonts w:ascii="Arial" w:eastAsia="Arial" w:hAnsi="Arial" w:cs="Arial"/>
          <w:sz w:val="16"/>
          <w:szCs w:val="16"/>
        </w:rPr>
      </w:pPr>
    </w:p>
    <w:p w14:paraId="7FF40B58" w14:textId="77777777" w:rsidR="00286ABF" w:rsidRDefault="00000000">
      <w:pPr>
        <w:spacing w:line="360" w:lineRule="auto"/>
      </w:pPr>
      <w:r>
        <w:rPr>
          <w:rStyle w:val="Brak"/>
          <w:rFonts w:ascii="Arial" w:hAnsi="Arial"/>
          <w:sz w:val="16"/>
          <w:szCs w:val="16"/>
        </w:rPr>
        <w:t xml:space="preserve">Business Centre Club w mediach społecznościowych: </w:t>
      </w:r>
      <w:hyperlink r:id="rId10" w:history="1">
        <w:r>
          <w:rPr>
            <w:rStyle w:val="Hyperlink2"/>
          </w:rPr>
          <w:t>LinkedIn &gt;</w:t>
        </w:r>
      </w:hyperlink>
      <w:r>
        <w:rPr>
          <w:rStyle w:val="Brak"/>
          <w:rFonts w:ascii="Arial" w:hAnsi="Arial"/>
          <w:sz w:val="16"/>
          <w:szCs w:val="16"/>
        </w:rPr>
        <w:t xml:space="preserve"> </w:t>
      </w:r>
      <w:hyperlink r:id="rId11" w:history="1">
        <w:r>
          <w:rPr>
            <w:rStyle w:val="Hyperlink2"/>
          </w:rPr>
          <w:t>Facebook &gt;</w:t>
        </w:r>
      </w:hyperlink>
      <w:r>
        <w:rPr>
          <w:rStyle w:val="Brak"/>
          <w:rFonts w:ascii="Arial" w:hAnsi="Arial"/>
          <w:sz w:val="16"/>
          <w:szCs w:val="16"/>
        </w:rPr>
        <w:t xml:space="preserve"> </w:t>
      </w:r>
      <w:hyperlink r:id="rId12" w:history="1">
        <w:r>
          <w:rPr>
            <w:rStyle w:val="Hyperlink3"/>
          </w:rPr>
          <w:t>Twitter &gt;</w:t>
        </w:r>
      </w:hyperlink>
    </w:p>
    <w:sectPr w:rsidR="00286ABF">
      <w:headerReference w:type="default" r:id="rId13"/>
      <w:footerReference w:type="default" r:id="rId14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987C0" w14:textId="77777777" w:rsidR="00EC2D96" w:rsidRDefault="00EC2D96">
      <w:r>
        <w:separator/>
      </w:r>
    </w:p>
  </w:endnote>
  <w:endnote w:type="continuationSeparator" w:id="0">
    <w:p w14:paraId="2D4D58BD" w14:textId="77777777" w:rsidR="00EC2D96" w:rsidRDefault="00EC2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3D950" w14:textId="77777777" w:rsidR="00286ABF" w:rsidRDefault="00286ABF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05D77" w14:textId="77777777" w:rsidR="00EC2D96" w:rsidRDefault="00EC2D96">
      <w:r>
        <w:separator/>
      </w:r>
    </w:p>
  </w:footnote>
  <w:footnote w:type="continuationSeparator" w:id="0">
    <w:p w14:paraId="41E50124" w14:textId="77777777" w:rsidR="00EC2D96" w:rsidRDefault="00EC2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9B29B" w14:textId="77777777" w:rsidR="00286ABF" w:rsidRDefault="00286ABF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ABF"/>
    <w:rsid w:val="00286ABF"/>
    <w:rsid w:val="009A6C70"/>
    <w:rsid w:val="009F3A7B"/>
    <w:rsid w:val="00EC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3917E"/>
  <w15:docId w15:val="{C76B88CF-49D6-4D3B-A955-BC40399AE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hAnsi="Calibri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BrakA">
    <w:name w:val="Brak A"/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Arial" w:eastAsia="Arial" w:hAnsi="Arial" w:cs="Arial"/>
      <w:outline w:val="0"/>
      <w:color w:val="0000FF"/>
      <w:sz w:val="16"/>
      <w:szCs w:val="16"/>
      <w:u w:val="single" w:color="0000FF"/>
      <w:lang w:val="de-DE"/>
    </w:rPr>
  </w:style>
  <w:style w:type="character" w:customStyle="1" w:styleId="Hyperlink1">
    <w:name w:val="Hyperlink.1"/>
    <w:basedOn w:val="Brak"/>
    <w:rPr>
      <w:rFonts w:ascii="Arial" w:eastAsia="Arial" w:hAnsi="Arial" w:cs="Arial"/>
      <w:outline w:val="0"/>
      <w:color w:val="0000FF"/>
      <w:sz w:val="16"/>
      <w:szCs w:val="16"/>
      <w:u w:val="single" w:color="0000FF"/>
    </w:rPr>
  </w:style>
  <w:style w:type="character" w:customStyle="1" w:styleId="Hyperlink2">
    <w:name w:val="Hyperlink.2"/>
    <w:basedOn w:val="Brak"/>
    <w:rPr>
      <w:rFonts w:ascii="Arial" w:eastAsia="Arial" w:hAnsi="Arial" w:cs="Arial"/>
      <w:outline w:val="0"/>
      <w:color w:val="0000FF"/>
      <w:sz w:val="16"/>
      <w:szCs w:val="16"/>
      <w:u w:val="single" w:color="0000FF"/>
      <w:lang w:val="nl-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3">
    <w:name w:val="Hyperlink.3"/>
    <w:basedOn w:val="Brak"/>
    <w:rPr>
      <w:rFonts w:ascii="Arial" w:eastAsia="Arial" w:hAnsi="Arial" w:cs="Arial"/>
      <w:outline w:val="0"/>
      <w:color w:val="0000FF"/>
      <w:sz w:val="16"/>
      <w:szCs w:val="16"/>
      <w:u w:val="single" w:color="0000FF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ata.stefanowska@bcc.pl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r@openmindedgroup.pl" TargetMode="External"/><Relationship Id="rId12" Type="http://schemas.openxmlformats.org/officeDocument/2006/relationships/hyperlink" Target="http://www.twitter.com/BCCor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facebook.com/businesscentreclub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linkedin.com/company/business-centre-club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Rybińska–Fliszkiewicz Joanna</dc:creator>
  <cp:lastModifiedBy>Rybińska–Fliszkiewicz Joanna</cp:lastModifiedBy>
  <cp:revision>3</cp:revision>
  <dcterms:created xsi:type="dcterms:W3CDTF">2024-02-01T10:50:00Z</dcterms:created>
  <dcterms:modified xsi:type="dcterms:W3CDTF">2024-02-01T10:51:00Z</dcterms:modified>
</cp:coreProperties>
</file>