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221" w14:textId="77777777" w:rsidR="00B657E7" w:rsidRDefault="00000000">
      <w:pPr>
        <w:pStyle w:val="TreA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28.07.2023 r. </w:t>
      </w:r>
    </w:p>
    <w:p w14:paraId="70FAC81B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FDBB835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0B36A199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</w:pPr>
    </w:p>
    <w:p w14:paraId="49E223FA" w14:textId="32E87E2D" w:rsidR="00B657E7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Pierwsze półrocze to klasyczna stagflacja,</w:t>
      </w:r>
      <w:r w:rsidR="00D17DE0"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 xml:space="preserve"> 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nie recesja. PKb zacznie powoli rosnąć</w:t>
      </w:r>
    </w:p>
    <w:p w14:paraId="038B0CE9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14:paraId="087AE704" w14:textId="77777777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Głowny</w:t>
      </w:r>
      <w:proofErr w:type="spellEnd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ekonomista</w:t>
      </w:r>
      <w:proofErr w:type="spellEnd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BCC Stanisław Gomułka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komentuje</w:t>
      </w:r>
      <w:proofErr w:type="spellEnd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najnowsze</w:t>
      </w:r>
      <w:proofErr w:type="spellEnd"/>
      <w:r>
        <w:rPr>
          <w:rFonts w:ascii="Arial" w:hAnsi="Arial"/>
          <w:b/>
          <w:bCs/>
          <w:kern w:val="2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GUS  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dotyczące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koniunktury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gospodarczej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DFD49E9" w14:textId="4DEBBF89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Produkcja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sprzedana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przemysłu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przedsiębiorstwach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zatrudniających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ponad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9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zmniejszyła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 1,4 proc. r/r,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wobec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spadku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 2,8 proc. r/r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maju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Natomiast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branżach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eksportowych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czerwcu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miał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miejsce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produkcji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o 7,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2 proc. r/r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wobec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</w:t>
      </w:r>
      <w:r w:rsidR="00D17DE0"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o 2,8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pric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r/r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maju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podobnie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jak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budownictwie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którym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odnotowano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produkcji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 o 1,5 proc. r/r.</w:t>
      </w:r>
    </w:p>
    <w:p w14:paraId="29095819" w14:textId="77777777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Pierwsze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półrocze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klasyczna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stagflacja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 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recesja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68572A6" w14:textId="77777777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całego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PKB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mieliśmy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spadek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 0,3 proc. r/r  w kw. I .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Zatem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wobec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CPI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o 15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proc. Stopa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procentowa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NBP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pozostaje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niezmienionym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- 6,75 proc.,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czyli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realna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stopa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procentowa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od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depozyt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got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wki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jest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silnie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ujemna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88C33A8" w14:textId="77777777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oznacza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podatek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inflacyjny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duży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skali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2023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wynieść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120-150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mld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trakcie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2023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mamy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już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będziemy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mie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ć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nadal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zgodnie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oczekiwaniami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NBP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niezależnych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ekonomist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znaczny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spadek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z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ponad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18%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styczniu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12%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8- 10%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grudniu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Ten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spadek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spowodował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realne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wynagrodzenia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przedsiębiorstwach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zatrudniających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ponad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9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wzrosły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pierwszy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od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lipca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2022 -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podkreśla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Stanisława Gomułka,</w:t>
      </w:r>
      <w:r>
        <w:rPr>
          <w:rFonts w:ascii="Arial" w:hAnsi="Arial"/>
          <w:b/>
          <w:bCs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główny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ekonomista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BCC, minister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finans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Gospodarczego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Gabinetu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Cieni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BCC,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członek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Narodowej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Rady </w:t>
      </w:r>
      <w:proofErr w:type="spellStart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Rozwoju</w:t>
      </w:r>
      <w:proofErr w:type="spellEnd"/>
      <w:r>
        <w:rPr>
          <w:rFonts w:ascii="Arial" w:hAnsi="Arial"/>
          <w:b/>
          <w:bCs/>
          <w:kern w:val="2"/>
          <w:sz w:val="22"/>
          <w:szCs w:val="22"/>
          <w:u w:color="AA303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5A67658" w14:textId="560D20FA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>Ekspert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 xml:space="preserve"> BCC</w:t>
      </w:r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>zwraca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>uwagę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zerwiec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przyni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sł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poprawy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relacjach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prawnych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finansowych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Polski z UE, z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bardzo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dużymi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stratami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kraju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straty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teraz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między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innymi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>zamro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żenie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inwestycji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infrastrukturalnych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władze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lokalne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Pomimo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zerowego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tempa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wzrostu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PKB,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stopa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bezrobocia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pozostaje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niskim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stabilnym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poziomie</w:t>
      </w:r>
      <w:proofErr w:type="spellEnd"/>
      <w:r>
        <w:rPr>
          <w:rFonts w:ascii="Arial" w:hAnsi="Arial"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E16DE4A" w14:textId="0319DA2F" w:rsidR="00B657E7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Na plus nale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ży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zaliczyć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utrzymywanie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nadwyżki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bilansie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handlowym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płatniczym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Polski, 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konsekwencji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umocnienie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kurs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złotego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wobec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euro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dolara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To 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zmniejsz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koszt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importu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przedsiębiorstw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gospodarstw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domowych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, 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sygnalizuje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zaufania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polskiej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gospodarki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rynkach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finansowych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powoduje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zmniejszenie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Duży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dopływ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zboża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Ukrainy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wiosnę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  jest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dużym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problemem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rolnik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w, ale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obniżył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zboża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cena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tony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pszenicy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spadła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1500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750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D17DE0"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podwyższył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zyskowność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produkcji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zwierzęcej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twierdzi</w:t>
      </w:r>
      <w:proofErr w:type="spellEnd"/>
      <w:r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ekspert</w:t>
      </w:r>
      <w:proofErr w:type="spellEnd"/>
      <w:r w:rsidR="00D17DE0"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BCC.</w:t>
      </w:r>
      <w:r>
        <w:rPr>
          <w:rFonts w:ascii="Arial" w:eastAsia="Arial" w:hAnsi="Arial" w:cs="Arial"/>
          <w:b/>
          <w:bCs/>
          <w:i/>
          <w:iCs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eastAsia="Arial" w:hAnsi="Arial" w:cs="Arial"/>
          <w:i/>
          <w:iCs/>
          <w:color w:val="242424"/>
          <w:kern w:val="2"/>
          <w:sz w:val="22"/>
          <w:szCs w:val="22"/>
          <w:u w:color="242424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Czego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możemy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spodziewać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najbliższym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czasie</w:t>
      </w:r>
      <w:proofErr w:type="spellEnd"/>
      <w:r>
        <w:rPr>
          <w:rFonts w:ascii="Arial" w:hAnsi="Arial"/>
          <w:b/>
          <w:b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?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62769B9" w14:textId="548BD884" w:rsidR="00B657E7" w:rsidRPr="00D17DE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  <w:rPr>
          <w:rFonts w:ascii="Arial" w:eastAsia="Arial" w:hAnsi="Arial" w:cs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Wchodzimy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żniw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niejasnymi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efektami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dużych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zmian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klimatycznych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plony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ceny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owoc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w,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warzyw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zbóż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strefie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euro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USA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banki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centralne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nadal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podnoszą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stopy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procentowe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Natomiast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RPP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sygnalizuje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możliwość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obniżkist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p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procentowych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najbliższych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2-3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kwartałach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Rezultatem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będzieutrzymanie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Polsce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znaczą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co</w:t>
      </w:r>
      <w:r w:rsidR="00D17DE0">
        <w:rPr>
          <w:rFonts w:ascii="Arial" w:eastAsia="Arial" w:hAnsi="Arial" w:cs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powyżej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2.5% 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spadek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inflacji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strefie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euro, UK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USA  do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bliskiego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2% 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przyszłym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Stopa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bezrobocia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stronach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stronach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Atlantyku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pozostanie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niskim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, a tempo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wzrostu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PKB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zacznie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powoli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rosnąć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do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poziomu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1-2%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krajach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wysoko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rozwiniętych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około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3-5 % w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krajach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doganiających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- </w:t>
      </w:r>
      <w:proofErr w:type="spellStart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podsumowuje</w:t>
      </w:r>
      <w:proofErr w:type="spellEnd"/>
      <w:r>
        <w:rPr>
          <w:rFonts w:ascii="Arial" w:hAnsi="Arial"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Stanisława Gomułka, </w:t>
      </w:r>
      <w:proofErr w:type="spellStart"/>
      <w:r>
        <w:rPr>
          <w:rFonts w:ascii="Arial" w:hAnsi="Arial"/>
          <w:b/>
          <w:bCs/>
          <w:i/>
          <w:iCs/>
          <w:color w:val="242424"/>
          <w:kern w:val="2"/>
          <w:sz w:val="22"/>
          <w:szCs w:val="22"/>
          <w:u w:color="2424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Arial" w:hAnsi="Arial"/>
          <w:b/>
          <w:bCs/>
          <w:i/>
          <w:iCs/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łówny</w:t>
      </w:r>
      <w:proofErr w:type="spellEnd"/>
      <w:r>
        <w:rPr>
          <w:rFonts w:ascii="Arial" w:hAnsi="Arial"/>
          <w:b/>
          <w:bCs/>
          <w:i/>
          <w:iCs/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ekonomista</w:t>
      </w:r>
      <w:proofErr w:type="spellEnd"/>
      <w:r>
        <w:rPr>
          <w:rFonts w:ascii="Arial" w:hAnsi="Arial"/>
          <w:b/>
          <w:bCs/>
          <w:i/>
          <w:iCs/>
          <w:kern w:val="2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BCC</w:t>
      </w:r>
      <w:r>
        <w:rPr>
          <w:rFonts w:ascii="Arial" w:hAnsi="Arial"/>
          <w:b/>
          <w:bCs/>
          <w:i/>
          <w:iCs/>
          <w:kern w:val="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10FB2BA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72485F36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1832DB45" w14:textId="77777777" w:rsidR="00D17DE0" w:rsidRDefault="00D17DE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14:paraId="5D798C0F" w14:textId="77777777" w:rsidR="00B657E7" w:rsidRDefault="00B657E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</w:rPr>
      </w:pPr>
    </w:p>
    <w:p w14:paraId="1AFEF597" w14:textId="77777777" w:rsidR="00B657E7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medi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sz w:val="18"/>
          <w:szCs w:val="18"/>
          <w:shd w:val="clear" w:color="auto" w:fill="FFFFFF"/>
        </w:rPr>
        <w:t>w:</w:t>
      </w:r>
    </w:p>
    <w:p w14:paraId="4220690A" w14:textId="77777777" w:rsidR="00B657E7" w:rsidRDefault="00000000">
      <w:pPr>
        <w:pStyle w:val="DomylneA"/>
        <w:numPr>
          <w:ilvl w:val="0"/>
          <w:numId w:val="2"/>
        </w:numPr>
        <w:spacing w:before="0" w:line="264" w:lineRule="auto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shd w:val="clear" w:color="auto" w:fill="FFFFFF"/>
          <w:lang w:val="en-US"/>
        </w:rPr>
        <w:t>Agencja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en-US"/>
        </w:rPr>
        <w:t xml:space="preserve"> Open Minded Group </w:t>
      </w:r>
      <w:hyperlink r:id="rId7" w:history="1">
        <w:r>
          <w:rPr>
            <w:rStyle w:val="Hyperlink0"/>
            <w:rFonts w:ascii="Arial" w:hAnsi="Arial"/>
            <w:sz w:val="18"/>
            <w:szCs w:val="18"/>
          </w:rPr>
          <w:t>pr@openmindedgroup.pl</w:t>
        </w:r>
      </w:hyperlink>
    </w:p>
    <w:p w14:paraId="706A6D89" w14:textId="77777777" w:rsidR="00B657E7" w:rsidRDefault="00000000">
      <w:pPr>
        <w:pStyle w:val="DomylneA"/>
        <w:numPr>
          <w:ilvl w:val="0"/>
          <w:numId w:val="2"/>
        </w:numPr>
        <w:spacing w:before="0" w:line="264" w:lineRule="auto"/>
        <w:rPr>
          <w:rFonts w:ascii="Arial" w:hAnsi="Arial"/>
          <w:sz w:val="18"/>
          <w:szCs w:val="18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Business Centre Club: Renata Stefanowska </w:t>
      </w:r>
      <w:hyperlink r:id="rId8" w:history="1">
        <w:r>
          <w:rPr>
            <w:rStyle w:val="Hyperlink1"/>
            <w:rFonts w:ascii="Arial" w:hAnsi="Arial"/>
            <w:sz w:val="18"/>
            <w:szCs w:val="18"/>
          </w:rPr>
          <w:t>renata.stefanowska@bcc.pl</w:t>
        </w:r>
      </w:hyperlink>
      <w:r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  <w:lang w:val="en-US"/>
        </w:rPr>
        <w:t xml:space="preserve"> </w:t>
      </w:r>
    </w:p>
    <w:p w14:paraId="3DF916DB" w14:textId="77777777" w:rsidR="00B657E7" w:rsidRDefault="00B657E7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u w:color="AA3034"/>
          <w:shd w:val="clear" w:color="auto" w:fill="FFFFFF"/>
        </w:rPr>
      </w:pPr>
    </w:p>
    <w:p w14:paraId="17EEB397" w14:textId="77777777" w:rsidR="00B657E7" w:rsidRDefault="00000000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color w:val="AA3034"/>
          <w:sz w:val="18"/>
          <w:szCs w:val="18"/>
          <w:u w:color="AA3034"/>
          <w:shd w:val="clear" w:color="auto" w:fill="FFFFFF"/>
        </w:rPr>
      </w:pPr>
      <w:proofErr w:type="spellStart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en-US"/>
        </w:rPr>
        <w:t>Kontakt</w:t>
      </w:r>
      <w:proofErr w:type="spellEnd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en-US"/>
        </w:rPr>
        <w:t xml:space="preserve"> od </w:t>
      </w:r>
      <w:proofErr w:type="spellStart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en-US"/>
        </w:rPr>
        <w:t>eksperta</w:t>
      </w:r>
      <w:proofErr w:type="spellEnd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en-US"/>
        </w:rPr>
        <w:t>:</w:t>
      </w:r>
      <w:r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  <w:lang w:val="en-US"/>
        </w:rPr>
        <w:t xml:space="preserve"> </w:t>
      </w:r>
    </w:p>
    <w:p w14:paraId="3B6C6E24" w14:textId="77777777" w:rsidR="00B657E7" w:rsidRDefault="00000000">
      <w:pPr>
        <w:pStyle w:val="DomylneA"/>
        <w:numPr>
          <w:ilvl w:val="0"/>
          <w:numId w:val="4"/>
        </w:numPr>
        <w:spacing w:before="0" w:line="264" w:lineRule="auto"/>
        <w:rPr>
          <w:rFonts w:ascii="Arial" w:hAnsi="Arial"/>
          <w:sz w:val="18"/>
          <w:szCs w:val="18"/>
        </w:rPr>
      </w:pPr>
      <w:proofErr w:type="spellStart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>Stansisław</w:t>
      </w:r>
      <w:proofErr w:type="spellEnd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 xml:space="preserve"> Gomułka - główny ekonomista BCC, minister </w:t>
      </w:r>
      <w:proofErr w:type="spellStart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>finans</w:t>
      </w:r>
      <w:proofErr w:type="spellEnd"/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>w Gospodarczego Gabinetu Cieni BCC, członek Narodowej Rady Rozwoju: </w:t>
      </w:r>
      <w:r>
        <w:rPr>
          <w:rStyle w:val="Brak"/>
          <w:rFonts w:ascii="Arial" w:hAnsi="Arial"/>
          <w:color w:val="9C3A38"/>
          <w:sz w:val="18"/>
          <w:szCs w:val="18"/>
          <w:u w:color="AA3034"/>
          <w:shd w:val="clear" w:color="auto" w:fill="FFFFFF"/>
        </w:rPr>
        <w:t>stanislaw.gomulka@bcc.org.pl</w:t>
      </w:r>
    </w:p>
    <w:p w14:paraId="49CA1D17" w14:textId="77777777" w:rsidR="00B657E7" w:rsidRDefault="00B657E7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22"/>
          <w:szCs w:val="22"/>
          <w:shd w:val="clear" w:color="auto" w:fill="000000"/>
          <w:lang w:val="en-US"/>
        </w:rPr>
      </w:pPr>
    </w:p>
    <w:p w14:paraId="69CAD62B" w14:textId="77777777" w:rsidR="00B657E7" w:rsidRDefault="00B657E7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22"/>
          <w:szCs w:val="22"/>
          <w:lang w:val="en-US"/>
        </w:rPr>
      </w:pPr>
    </w:p>
    <w:p w14:paraId="25870F28" w14:textId="77777777" w:rsidR="00B657E7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en-US"/>
        </w:rPr>
        <w:t xml:space="preserve"> </w:t>
      </w:r>
    </w:p>
    <w:p w14:paraId="495D3BB6" w14:textId="77777777" w:rsidR="00B657E7" w:rsidRDefault="00000000">
      <w:pPr>
        <w:pStyle w:val="TreA"/>
        <w:pBdr>
          <w:top w:val="single" w:sz="4" w:space="0" w:color="000000"/>
        </w:pBd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28E23C23" wp14:editId="0A29E083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C88837" w14:textId="77777777" w:rsidR="00B657E7" w:rsidRDefault="00000000">
      <w:pPr>
        <w:pStyle w:val="TreA"/>
        <w:spacing w:line="276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601E6A50" w14:textId="77777777" w:rsidR="00B657E7" w:rsidRDefault="00B657E7">
      <w:pPr>
        <w:pStyle w:val="TreA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09E17215" w14:textId="77777777" w:rsidR="00B657E7" w:rsidRDefault="00000000">
      <w:pPr>
        <w:pStyle w:val="TreA"/>
        <w:spacing w:line="276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</w:t>
      </w:r>
      <w:proofErr w:type="spellStart"/>
      <w:r>
        <w:rPr>
          <w:rStyle w:val="Brak"/>
          <w:rFonts w:ascii="Arial" w:hAnsi="Arial"/>
          <w:sz w:val="16"/>
          <w:szCs w:val="16"/>
        </w:rPr>
        <w:t>spo</w:t>
      </w:r>
      <w:proofErr w:type="spellEnd"/>
      <w:r>
        <w:rPr>
          <w:rStyle w:val="Brak"/>
          <w:rFonts w:ascii="Arial" w:hAnsi="Arial"/>
          <w:sz w:val="16"/>
          <w:szCs w:val="16"/>
          <w:lang w:val="en-US"/>
        </w:rPr>
        <w:t>ł</w:t>
      </w:r>
      <w:proofErr w:type="spellStart"/>
      <w:r>
        <w:rPr>
          <w:rStyle w:val="Brak"/>
          <w:rFonts w:ascii="Arial" w:hAnsi="Arial"/>
          <w:sz w:val="16"/>
          <w:szCs w:val="16"/>
        </w:rPr>
        <w:t>eczno</w:t>
      </w:r>
      <w:proofErr w:type="spellEnd"/>
      <w:r>
        <w:rPr>
          <w:rStyle w:val="Brak"/>
          <w:rFonts w:ascii="Arial" w:hAnsi="Arial"/>
          <w:sz w:val="16"/>
          <w:szCs w:val="16"/>
          <w:lang w:val="en-US"/>
        </w:rPr>
        <w:t>ś</w:t>
      </w:r>
      <w:proofErr w:type="spellStart"/>
      <w:r>
        <w:rPr>
          <w:rStyle w:val="Brak"/>
          <w:rFonts w:ascii="Arial" w:hAnsi="Arial"/>
          <w:sz w:val="16"/>
          <w:szCs w:val="16"/>
        </w:rPr>
        <w:t>ciowych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10" w:history="1">
        <w:r>
          <w:rPr>
            <w:rStyle w:val="Hyperlink2"/>
            <w:sz w:val="16"/>
            <w:szCs w:val="16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1" w:history="1">
        <w:r>
          <w:rPr>
            <w:rStyle w:val="Hyperlink2"/>
            <w:sz w:val="16"/>
            <w:szCs w:val="16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3"/>
            <w:sz w:val="16"/>
            <w:szCs w:val="16"/>
          </w:rPr>
          <w:t>Twitter &gt;</w:t>
        </w:r>
      </w:hyperlink>
    </w:p>
    <w:sectPr w:rsidR="00B657E7">
      <w:headerReference w:type="default" r:id="rId13"/>
      <w:footerReference w:type="default" r:id="rId14"/>
      <w:pgSz w:w="11900" w:h="16840"/>
      <w:pgMar w:top="2552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BA49" w14:textId="77777777" w:rsidR="00E4712D" w:rsidRDefault="00E4712D">
      <w:r>
        <w:separator/>
      </w:r>
    </w:p>
  </w:endnote>
  <w:endnote w:type="continuationSeparator" w:id="0">
    <w:p w14:paraId="31FF2A37" w14:textId="77777777" w:rsidR="00E4712D" w:rsidRDefault="00E4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DEBD" w14:textId="77777777" w:rsidR="00B657E7" w:rsidRDefault="00B657E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C2DD" w14:textId="77777777" w:rsidR="00E4712D" w:rsidRDefault="00E4712D">
      <w:r>
        <w:separator/>
      </w:r>
    </w:p>
  </w:footnote>
  <w:footnote w:type="continuationSeparator" w:id="0">
    <w:p w14:paraId="6EA52D93" w14:textId="77777777" w:rsidR="00E4712D" w:rsidRDefault="00E4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1C57" w14:textId="77777777" w:rsidR="00B657E7" w:rsidRDefault="00000000">
    <w:pPr>
      <w:pStyle w:val="NagwekistopkaA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797F7C" wp14:editId="601C90E9">
          <wp:simplePos x="0" y="0"/>
          <wp:positionH relativeFrom="page">
            <wp:posOffset>2659380</wp:posOffset>
          </wp:positionH>
          <wp:positionV relativeFrom="page">
            <wp:posOffset>509270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DDF"/>
    <w:multiLevelType w:val="hybridMultilevel"/>
    <w:tmpl w:val="BCA69C8A"/>
    <w:styleLink w:val="Zaimportowanystyl1"/>
    <w:lvl w:ilvl="0" w:tplc="EF2E71D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ADDF8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A8870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6EAD8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097C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C201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AC6B6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5656BA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A2D8A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044F06"/>
    <w:multiLevelType w:val="hybridMultilevel"/>
    <w:tmpl w:val="BCA69C8A"/>
    <w:numStyleLink w:val="Zaimportowanystyl1"/>
  </w:abstractNum>
  <w:abstractNum w:abstractNumId="2" w15:restartNumberingAfterBreak="0">
    <w:nsid w:val="472E7FE7"/>
    <w:multiLevelType w:val="hybridMultilevel"/>
    <w:tmpl w:val="22EE6BB6"/>
    <w:styleLink w:val="Zaimportowanystyl10"/>
    <w:lvl w:ilvl="0" w:tplc="A80EAF3C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EA9EE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60D7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4A08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A53C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C814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41D5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A465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8CF20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5A2ADB"/>
    <w:multiLevelType w:val="hybridMultilevel"/>
    <w:tmpl w:val="22EE6BB6"/>
    <w:numStyleLink w:val="Zaimportowanystyl10"/>
  </w:abstractNum>
  <w:num w:numId="1" w16cid:durableId="1418745964">
    <w:abstractNumId w:val="0"/>
  </w:num>
  <w:num w:numId="2" w16cid:durableId="671683308">
    <w:abstractNumId w:val="1"/>
  </w:num>
  <w:num w:numId="3" w16cid:durableId="983579613">
    <w:abstractNumId w:val="2"/>
  </w:num>
  <w:num w:numId="4" w16cid:durableId="95132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E7"/>
    <w:rsid w:val="00B657E7"/>
    <w:rsid w:val="00D17DE0"/>
    <w:rsid w:val="00E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4E87"/>
  <w15:docId w15:val="{CB19D335-A516-448F-98BD-3CC439E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AA3034"/>
      <w:u w:val="single" w:color="AA3034"/>
      <w:lang w:val="de-DE"/>
    </w:rPr>
  </w:style>
  <w:style w:type="character" w:customStyle="1" w:styleId="Hyperlink1">
    <w:name w:val="Hyperlink.1"/>
    <w:basedOn w:val="Brak"/>
    <w:rPr>
      <w:outline w:val="0"/>
      <w:color w:val="AA3034"/>
      <w:u w:val="single" w:color="AA3034"/>
      <w:lang w:val="en-US"/>
    </w:rPr>
  </w:style>
  <w:style w:type="numbering" w:customStyle="1" w:styleId="Zaimportowanystyl10">
    <w:name w:val="Zaimportowany styl 1.0"/>
    <w:pPr>
      <w:numPr>
        <w:numId w:val="3"/>
      </w:numPr>
    </w:pPr>
  </w:style>
  <w:style w:type="character" w:customStyle="1" w:styleId="Hyperlink2">
    <w:name w:val="Hyperlink.2"/>
    <w:basedOn w:val="Brak"/>
    <w:rPr>
      <w:rFonts w:ascii="Arial" w:eastAsia="Arial" w:hAnsi="Arial" w:cs="Arial"/>
      <w:u w:val="single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twitter.com/BCC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usinesscentreclu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business-centre-clu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2023-07-31T09:21:00Z</dcterms:created>
  <dcterms:modified xsi:type="dcterms:W3CDTF">2023-07-31T09:21:00Z</dcterms:modified>
</cp:coreProperties>
</file>