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5B10" w:rsidRDefault="00000000">
      <w:pPr>
        <w:suppressAutoHyphens/>
        <w:spacing w:after="0" w:line="240" w:lineRule="auto"/>
        <w:jc w:val="center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noProof/>
          <w:shd w:val="clear" w:color="auto" w:fill="FFFFFF"/>
        </w:rPr>
        <w:drawing>
          <wp:inline distT="0" distB="0" distL="0" distR="0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3688079</wp:posOffset>
                </wp:positionH>
                <wp:positionV relativeFrom="page">
                  <wp:posOffset>284479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85B10" w:rsidRDefault="00000000">
                            <w:pPr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Warszawa, dnia 8 maja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2024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22.4pt;width:250.0pt;height: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</w:rPr>
                        <w:t>Warszawa, dnia 8 maja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rtl w:val="0"/>
                          <w:lang w:val="en-US"/>
                        </w:rPr>
                        <w:t xml:space="preserve"> 2024 r.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 w:rsidR="00485B10" w:rsidRDefault="00485B10">
      <w:pPr>
        <w:suppressAutoHyphens/>
        <w:spacing w:before="20" w:after="0" w:line="240" w:lineRule="auto"/>
        <w:jc w:val="center"/>
        <w:rPr>
          <w:rFonts w:ascii="Arial" w:eastAsia="Arial" w:hAnsi="Arial" w:cs="Arial"/>
          <w:caps/>
          <w:color w:val="BE1E2D"/>
          <w:u w:color="BE1E2D"/>
          <w:shd w:val="clear" w:color="auto" w:fill="FFFFFF"/>
        </w:rPr>
      </w:pPr>
    </w:p>
    <w:p w:rsidR="00485B10" w:rsidRDefault="00485B10">
      <w:pPr>
        <w:suppressAutoHyphens/>
        <w:spacing w:before="20" w:after="0" w:line="240" w:lineRule="auto"/>
        <w:jc w:val="center"/>
        <w:rPr>
          <w:rFonts w:ascii="Arial" w:eastAsia="Arial" w:hAnsi="Arial" w:cs="Arial"/>
          <w:caps/>
          <w:color w:val="BE1E2D"/>
          <w:u w:color="BE1E2D"/>
          <w:shd w:val="clear" w:color="auto" w:fill="FFFFFF"/>
        </w:rPr>
      </w:pPr>
    </w:p>
    <w:p w:rsidR="00485B10" w:rsidRDefault="00000000">
      <w:pPr>
        <w:suppressAutoHyphens/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8"/>
          <w:szCs w:val="28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8"/>
          <w:szCs w:val="28"/>
          <w:u w:color="BE1E2D"/>
          <w:shd w:val="clear" w:color="auto" w:fill="FFFFFF"/>
          <w:lang w:val="de-DE"/>
        </w:rPr>
        <w:t>WDRO</w:t>
      </w:r>
      <w:r>
        <w:rPr>
          <w:rFonts w:ascii="Arial Black" w:hAnsi="Arial Black"/>
          <w:caps/>
          <w:color w:val="BE1E2D"/>
          <w:sz w:val="28"/>
          <w:szCs w:val="28"/>
          <w:u w:color="BE1E2D"/>
          <w:shd w:val="clear" w:color="auto" w:fill="FFFFFF"/>
        </w:rPr>
        <w:t>Ż</w:t>
      </w:r>
      <w:r>
        <w:rPr>
          <w:rFonts w:ascii="Arial Black" w:hAnsi="Arial Black"/>
          <w:caps/>
          <w:color w:val="BE1E2D"/>
          <w:sz w:val="28"/>
          <w:szCs w:val="28"/>
          <w:u w:color="BE1E2D"/>
          <w:shd w:val="clear" w:color="auto" w:fill="FFFFFF"/>
          <w:lang w:val="de-DE"/>
        </w:rPr>
        <w:t xml:space="preserve">ENIE OBLIGATORYJNEGO </w:t>
      </w:r>
      <w:r>
        <w:rPr>
          <w:rFonts w:ascii="Arial Black" w:hAnsi="Arial Black"/>
          <w:color w:val="BE1E2D"/>
          <w:sz w:val="28"/>
          <w:szCs w:val="28"/>
          <w:u w:color="BE1E2D"/>
          <w:shd w:val="clear" w:color="auto" w:fill="FFFFFF"/>
        </w:rPr>
        <w:t>KSeF</w:t>
      </w:r>
      <w:r>
        <w:rPr>
          <w:rFonts w:ascii="Arial Black" w:hAnsi="Arial Black"/>
          <w:caps/>
          <w:color w:val="BE1E2D"/>
          <w:sz w:val="28"/>
          <w:szCs w:val="28"/>
          <w:u w:color="BE1E2D"/>
          <w:shd w:val="clear" w:color="auto" w:fill="FFFFFF"/>
        </w:rPr>
        <w:t xml:space="preserve">. </w:t>
      </w:r>
    </w:p>
    <w:p w:rsidR="00485B10" w:rsidRDefault="00000000">
      <w:pPr>
        <w:suppressAutoHyphens/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8"/>
          <w:szCs w:val="28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8"/>
          <w:szCs w:val="28"/>
          <w:u w:color="BE1E2D"/>
          <w:shd w:val="clear" w:color="auto" w:fill="FFFFFF"/>
        </w:rPr>
        <w:t>Opinia BCC.</w:t>
      </w:r>
    </w:p>
    <w:p w:rsidR="00485B10" w:rsidRDefault="00485B10">
      <w:pPr>
        <w:suppressAutoHyphens/>
        <w:spacing w:before="20" w:after="0" w:line="240" w:lineRule="auto"/>
        <w:jc w:val="center"/>
        <w:rPr>
          <w:rFonts w:ascii="Arial" w:eastAsia="Arial" w:hAnsi="Arial" w:cs="Arial"/>
          <w:caps/>
          <w:color w:val="BE1E2D"/>
          <w:u w:color="BE1E2D"/>
          <w:shd w:val="clear" w:color="auto" w:fill="FFFFFF"/>
        </w:rPr>
      </w:pPr>
    </w:p>
    <w:p w:rsidR="00485B10" w:rsidRDefault="00485B10">
      <w:pPr>
        <w:shd w:val="clear" w:color="auto" w:fill="FFFFFF"/>
        <w:suppressAutoHyphens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485B10" w:rsidRDefault="0000000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Business Centre Club popiera wdrożenie systemu KSeF jednocześnie dla wszystkich podatnik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w. Dzięki temu rozwiązaniu, wszyscy podatnicy będą mogli dostosować swoje procesy w tym samym czasie, co zwiększa przewidywalność oraz r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wność                  w traktowaniu podmiot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gospodarczych.</w:t>
      </w:r>
    </w:p>
    <w:p w:rsidR="00485B10" w:rsidRDefault="00485B1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:rsidR="00485B10" w:rsidRDefault="0000000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Zastosowanie jednolitej daty wprowadzenia systemu eliminuje ryzyko niepewności oraz potrzebę częstych weryfikacji statusu nabywc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faktur,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re w obecnie obowiązującej ustawie wdrażającej obligatoryjny KSeF, mogło prowadzić </w:t>
      </w:r>
      <w:r>
        <w:rPr>
          <w:rFonts w:ascii="Arial" w:hAnsi="Arial"/>
          <w:lang w:val="pt-PT"/>
        </w:rPr>
        <w:t>do b</w:t>
      </w:r>
      <w:r>
        <w:rPr>
          <w:rFonts w:ascii="Arial" w:hAnsi="Arial"/>
        </w:rPr>
        <w:t>łęd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i niejasnoś</w:t>
      </w:r>
      <w:r>
        <w:rPr>
          <w:rFonts w:ascii="Arial" w:hAnsi="Arial"/>
          <w:lang w:val="it-IT"/>
        </w:rPr>
        <w:t xml:space="preserve">ci </w:t>
      </w:r>
      <w:r>
        <w:rPr>
          <w:rFonts w:ascii="Arial" w:hAnsi="Arial"/>
        </w:rPr>
        <w:t xml:space="preserve">                            w procesach fakturowania.</w:t>
      </w:r>
    </w:p>
    <w:p w:rsidR="00485B10" w:rsidRDefault="00485B1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  <w:i/>
          <w:iCs/>
        </w:rPr>
      </w:pPr>
    </w:p>
    <w:p w:rsidR="00485B10" w:rsidRDefault="00000000">
      <w:pPr>
        <w:pStyle w:val="Domylne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  <w:i/>
          <w:iCs/>
        </w:rPr>
        <w:t>Projekt zakł</w:t>
      </w:r>
      <w:r>
        <w:rPr>
          <w:rFonts w:ascii="Helvetica" w:hAnsi="Helvetica"/>
          <w:i/>
          <w:iCs/>
          <w:lang w:val="es-ES_tradnl"/>
        </w:rPr>
        <w:t xml:space="preserve">ada, </w:t>
      </w:r>
      <w:r>
        <w:rPr>
          <w:rFonts w:ascii="Helvetica" w:hAnsi="Helvetica"/>
          <w:i/>
          <w:iCs/>
        </w:rPr>
        <w:t>że obowiązek korzystania z Krajowego Systemu e-Faktur (KSeF) wejdzie w życie 1 lutego 2026 r. dla podatnik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w, u kt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rych wartość sprzedaży przekroczyła 200 mln zł, i od 1 kwietnia 2026 r. dla pozostałych podatnik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w. Zmianę oceniam pozytywnie, ponieważ większość podatnik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w, z kt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rymi rozmawiam nie była przygotowana na wprowadzenie KSeF od 1 lipca 2024 r. uznając, że „księgowy/a się tym zajmie”. To, w połączeniu z błędami krytycznymi w funkcjonowaniu systemu KSeF, na kt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re zwraca uwagę Ministerstwo Finans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w stanowiło przepis na potężny chaos, kt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rego skutki odczulibyśmy wszyscy.</w:t>
      </w:r>
      <w:r>
        <w:rPr>
          <w:rStyle w:val="BrakA"/>
          <w:rFonts w:ascii="Helvetica" w:hAnsi="Helvetica"/>
        </w:rPr>
        <w:t xml:space="preserve"> - m</w:t>
      </w:r>
      <w:r>
        <w:rPr>
          <w:rStyle w:val="BrakA"/>
          <w:rFonts w:ascii="Helvetica" w:hAnsi="Helvetica"/>
          <w:lang w:val="es-ES_tradnl"/>
        </w:rPr>
        <w:t>ó</w:t>
      </w:r>
      <w:r>
        <w:rPr>
          <w:rStyle w:val="BrakA"/>
          <w:rFonts w:ascii="Helvetica" w:hAnsi="Helvetica"/>
        </w:rPr>
        <w:t xml:space="preserve">wi </w:t>
      </w:r>
      <w:r>
        <w:rPr>
          <w:rFonts w:ascii="Helvetica" w:hAnsi="Helvetica"/>
          <w:b/>
          <w:bCs/>
        </w:rPr>
        <w:t>Jakub Świetlicki vel Wegorek - ekspert BCC ds. finans</w:t>
      </w:r>
      <w:r>
        <w:rPr>
          <w:rFonts w:ascii="Helvetica" w:hAnsi="Helvetica"/>
          <w:b/>
          <w:bCs/>
          <w:lang w:val="es-ES_tradnl"/>
        </w:rPr>
        <w:t>ó</w:t>
      </w:r>
      <w:r>
        <w:rPr>
          <w:rFonts w:ascii="Helvetica" w:hAnsi="Helvetica"/>
          <w:b/>
          <w:bCs/>
        </w:rPr>
        <w:t>w i rynk</w:t>
      </w:r>
      <w:r>
        <w:rPr>
          <w:rFonts w:ascii="Helvetica" w:hAnsi="Helvetica"/>
          <w:b/>
          <w:bCs/>
          <w:lang w:val="es-ES_tradnl"/>
        </w:rPr>
        <w:t>ó</w:t>
      </w:r>
      <w:r>
        <w:rPr>
          <w:rFonts w:ascii="Helvetica" w:hAnsi="Helvetica"/>
          <w:b/>
          <w:bCs/>
        </w:rPr>
        <w:t>w kapitałowych.</w:t>
      </w:r>
    </w:p>
    <w:p w:rsidR="00485B10" w:rsidRDefault="00485B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Helvetica" w:eastAsia="Helvetica" w:hAnsi="Helvetica" w:cs="Helvetica"/>
          <w:b/>
          <w:bCs/>
        </w:rPr>
      </w:pPr>
    </w:p>
    <w:p w:rsidR="00485B10" w:rsidRDefault="00000000">
      <w:pPr>
        <w:pStyle w:val="Domylne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  <w:i/>
          <w:iCs/>
        </w:rPr>
        <w:t>Mam nadzieje, że ten dodatkowy czas zostanie efektywnie wykorzystany przez Ministerstwo Finans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w do przeprowadzenia szerokiej kampanii informacyjnej tak aby podatnicy wiedzieli z odpowiednim wyprzedzeniem o konieczności dostosowania się do nowych wymog</w:t>
      </w:r>
      <w:r>
        <w:rPr>
          <w:rFonts w:ascii="Helvetica" w:hAnsi="Helvetica"/>
          <w:i/>
          <w:iCs/>
          <w:lang w:val="es-ES_tradnl"/>
        </w:rPr>
        <w:t>ó</w:t>
      </w:r>
      <w:r>
        <w:rPr>
          <w:rFonts w:ascii="Helvetica" w:hAnsi="Helvetica"/>
          <w:i/>
          <w:iCs/>
        </w:rPr>
        <w:t>w oraz o tym jak to wykonać w praktyce.</w:t>
      </w:r>
      <w:r>
        <w:rPr>
          <w:rStyle w:val="BrakA"/>
          <w:rFonts w:ascii="Helvetica" w:hAnsi="Helvetica"/>
        </w:rPr>
        <w:t xml:space="preserve"> - dodaje </w:t>
      </w:r>
      <w:r>
        <w:rPr>
          <w:rFonts w:ascii="Helvetica" w:hAnsi="Helvetica"/>
          <w:b/>
          <w:bCs/>
        </w:rPr>
        <w:t>ekspert</w:t>
      </w:r>
      <w:r>
        <w:rPr>
          <w:rStyle w:val="BrakA"/>
          <w:rFonts w:ascii="Helvetica" w:hAnsi="Helvetica"/>
        </w:rPr>
        <w:t>.</w:t>
      </w:r>
    </w:p>
    <w:p w:rsidR="00485B10" w:rsidRDefault="00485B1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32"/>
          <w:szCs w:val="32"/>
        </w:rPr>
      </w:pPr>
    </w:p>
    <w:p w:rsidR="00485B10" w:rsidRDefault="0000000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BCC</w:t>
      </w:r>
      <w:r>
        <w:rPr>
          <w:rFonts w:ascii="Arial" w:hAnsi="Arial"/>
        </w:rPr>
        <w:t xml:space="preserve"> popiera decyzję o wprowadzeniu okresu przejściowego, odraczającego sankcje czy wym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g podawania numeru KSeF w przypadku płatności, w tym tych, realizowanych                    w ramach mechanizmu podzielonej płatności. Organizacja pracodawc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popiera też  zastosowanie okresu przejściowego dla faktur wystawianych w trybie offline. Takie rozwiązania ułatwią przedsiębiorcom stopniowe przystosowanie się do nowych wymagań systemu KSeF, a w przypadku faktur offline wyeliminują konieczność zbierania dodatkowych dowod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potwierdzających zasadność skorzystania z tego trybu. </w:t>
      </w:r>
    </w:p>
    <w:p w:rsidR="00485B10" w:rsidRDefault="00000000">
      <w:pPr>
        <w:numPr>
          <w:ilvl w:val="0"/>
          <w:numId w:val="3"/>
        </w:numPr>
        <w:shd w:val="clear" w:color="auto" w:fill="FFFFFF"/>
        <w:suppressAutoHyphens/>
        <w:spacing w:after="0" w:line="288" w:lineRule="auto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Warto jednak rozważyć, czy wym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g przekazania takich faktur do KSeF już następnego dnia roboczego jest uzasadniony</w:t>
      </w:r>
      <w:r>
        <w:rPr>
          <w:rStyle w:val="BrakA"/>
          <w:rFonts w:ascii="Arial" w:hAnsi="Arial"/>
        </w:rPr>
        <w:t xml:space="preserve"> - wskazują </w:t>
      </w:r>
      <w:r>
        <w:rPr>
          <w:rFonts w:ascii="Arial" w:hAnsi="Arial"/>
          <w:b/>
          <w:bCs/>
        </w:rPr>
        <w:t>eksperci BCC</w:t>
      </w:r>
      <w:r>
        <w:rPr>
          <w:rStyle w:val="BrakA"/>
          <w:rFonts w:ascii="Arial" w:hAnsi="Arial"/>
        </w:rPr>
        <w:t>, zdaniem</w:t>
      </w:r>
      <w:r>
        <w:rPr>
          <w:rFonts w:ascii="Arial" w:hAnsi="Arial"/>
          <w:b/>
          <w:bCs/>
        </w:rPr>
        <w:t xml:space="preserve"> </w:t>
      </w:r>
      <w:r>
        <w:rPr>
          <w:rStyle w:val="BrakA"/>
          <w:rFonts w:ascii="Arial" w:hAnsi="Arial"/>
        </w:rPr>
        <w:t>kt</w:t>
      </w:r>
      <w:r>
        <w:rPr>
          <w:rFonts w:ascii="Arial" w:hAnsi="Arial"/>
          <w:lang w:val="es-ES_tradnl"/>
        </w:rPr>
        <w:t>ó</w:t>
      </w:r>
      <w:r>
        <w:rPr>
          <w:rStyle w:val="BrakA"/>
          <w:rFonts w:ascii="Arial" w:hAnsi="Arial"/>
        </w:rPr>
        <w:t xml:space="preserve">rych </w:t>
      </w:r>
      <w:r>
        <w:rPr>
          <w:rFonts w:ascii="Arial" w:hAnsi="Arial"/>
          <w:i/>
          <w:iCs/>
        </w:rPr>
        <w:t>obecny</w:t>
      </w:r>
      <w:r>
        <w:rPr>
          <w:rFonts w:ascii="Arial" w:hAnsi="Arial"/>
          <w:i/>
          <w:iCs/>
          <w:lang w:val="da-DK"/>
        </w:rPr>
        <w:t xml:space="preserve"> termin mo</w:t>
      </w:r>
      <w:r>
        <w:rPr>
          <w:rFonts w:ascii="Arial" w:hAnsi="Arial"/>
          <w:i/>
          <w:iCs/>
        </w:rPr>
        <w:t>że okazać się zbyt restrykcyjny dla podatnik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w,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rzy wciąż dostosowują się                do nowych regulacji.</w:t>
      </w:r>
    </w:p>
    <w:p w:rsidR="00485B10" w:rsidRDefault="00485B10">
      <w:pPr>
        <w:shd w:val="clear" w:color="auto" w:fill="FFFFFF"/>
        <w:suppressAutoHyphens/>
        <w:spacing w:after="0" w:line="288" w:lineRule="auto"/>
        <w:rPr>
          <w:rFonts w:ascii="Arial" w:eastAsia="Arial" w:hAnsi="Arial" w:cs="Arial"/>
          <w:kern w:val="2"/>
        </w:rPr>
      </w:pPr>
    </w:p>
    <w:p w:rsidR="00485B10" w:rsidRDefault="00485B10">
      <w:pPr>
        <w:shd w:val="clear" w:color="auto" w:fill="FFFFFF"/>
        <w:suppressAutoHyphens/>
        <w:spacing w:after="0" w:line="288" w:lineRule="auto"/>
        <w:rPr>
          <w:rFonts w:ascii="Arial" w:eastAsia="Arial" w:hAnsi="Arial" w:cs="Arial"/>
          <w:kern w:val="2"/>
        </w:rPr>
      </w:pPr>
    </w:p>
    <w:p w:rsidR="00485B10" w:rsidRDefault="00000000">
      <w:pPr>
        <w:suppressAutoHyphens/>
        <w:spacing w:after="160" w:line="278" w:lineRule="auto"/>
        <w:rPr>
          <w:rFonts w:ascii="Aptos" w:eastAsia="Aptos" w:hAnsi="Aptos" w:cs="Aptos"/>
          <w:b/>
          <w:bCs/>
          <w:kern w:val="2"/>
        </w:rPr>
      </w:pPr>
      <w:r>
        <w:rPr>
          <w:rFonts w:ascii="Aptos" w:eastAsia="Aptos" w:hAnsi="Aptos" w:cs="Aptos"/>
          <w:b/>
          <w:bCs/>
          <w:kern w:val="2"/>
        </w:rPr>
        <w:t xml:space="preserve">FAKTURY </w:t>
      </w:r>
      <w:r>
        <w:rPr>
          <w:rFonts w:ascii="Aptos" w:eastAsia="Aptos" w:hAnsi="Aptos" w:cs="Aptos"/>
          <w:b/>
          <w:bCs/>
          <w:kern w:val="2"/>
          <w:lang w:val="de-DE"/>
        </w:rPr>
        <w:t>KONSUMENCKIE</w:t>
      </w:r>
    </w:p>
    <w:p w:rsidR="00485B10" w:rsidRDefault="00000000">
      <w:pPr>
        <w:suppressAutoHyphens/>
        <w:spacing w:after="160" w:line="278" w:lineRule="auto"/>
        <w:jc w:val="both"/>
        <w:rPr>
          <w:kern w:val="2"/>
        </w:rPr>
      </w:pPr>
      <w:r>
        <w:rPr>
          <w:rFonts w:ascii="Aptos" w:eastAsia="Aptos" w:hAnsi="Aptos" w:cs="Aptos"/>
          <w:kern w:val="2"/>
        </w:rPr>
        <w:t>BCC popiera także wprowadzenie możliwości wystawiania e-faktur w KSeF dla transakcji                    z osobami fizycznymi nieprowadzącymi działalności gospodarczej (z tzw. konsumentami). Eksperci BCC zwracają jednak uwagę na konieczność wprowadzenia wyraźnych                           i jednoznacznych wytycznych, kt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re pomogą sprzedawcom w rozróżnianiu faktur konsumenckich i tych, kt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re powinny zostać obligatoryjnie wprowadzone do KSeF.  Szczeg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lnie dotyczy to sytuacji, gdy przedsiębiorca/nabywca podaje NIP, ale realizowany przez niego zakup nie dotyczy prowadzonej działalności gospodarczej. W ocenie BCC                      w tego typu przypadkach istotne  jest, aby nie nakł</w:t>
      </w:r>
      <w:r>
        <w:rPr>
          <w:rFonts w:ascii="Aptos" w:eastAsia="Aptos" w:hAnsi="Aptos" w:cs="Aptos"/>
          <w:kern w:val="2"/>
          <w:lang w:val="es-ES_tradnl"/>
        </w:rPr>
        <w:t>ada</w:t>
      </w:r>
      <w:r>
        <w:rPr>
          <w:rFonts w:ascii="Aptos" w:eastAsia="Aptos" w:hAnsi="Aptos" w:cs="Aptos"/>
          <w:kern w:val="2"/>
        </w:rPr>
        <w:t>ć na sprzedawcę dodatkowych obowiązk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w weryfikacyjnych, tylko określić jasne i oficjalne kryteria, na podstawie kt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 xml:space="preserve">rych sprzedawca będzie miał prawo uznać uznać czy transakcja ma charakter transakcji B2B                       czy też </w:t>
      </w:r>
      <w:r>
        <w:rPr>
          <w:rFonts w:ascii="Aptos" w:eastAsia="Aptos" w:hAnsi="Aptos" w:cs="Aptos"/>
          <w:kern w:val="2"/>
          <w:lang w:val="it-IT"/>
        </w:rPr>
        <w:t xml:space="preserve">B2C. </w:t>
      </w:r>
    </w:p>
    <w:p w:rsidR="00485B10" w:rsidRDefault="00485B10">
      <w:pPr>
        <w:suppressAutoHyphens/>
        <w:spacing w:after="160" w:line="278" w:lineRule="auto"/>
        <w:jc w:val="both"/>
        <w:rPr>
          <w:rFonts w:ascii="Aptos" w:eastAsia="Aptos" w:hAnsi="Aptos" w:cs="Aptos"/>
          <w:b/>
          <w:bCs/>
          <w:i/>
          <w:iCs/>
          <w:kern w:val="2"/>
        </w:rPr>
      </w:pPr>
    </w:p>
    <w:p w:rsidR="00485B10" w:rsidRDefault="0000000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NIEJASNA SAMOI</w:t>
      </w:r>
      <w:r>
        <w:rPr>
          <w:rFonts w:ascii="Arial" w:hAnsi="Arial"/>
          <w:b/>
          <w:bCs/>
          <w:lang w:val="de-DE"/>
        </w:rPr>
        <w:t>DENTYFIKACJA</w:t>
      </w:r>
    </w:p>
    <w:p w:rsidR="00485B10" w:rsidRDefault="00485B1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</w:rPr>
      </w:pPr>
    </w:p>
    <w:p w:rsidR="00485B10" w:rsidRDefault="00000000">
      <w:pPr>
        <w:suppressAutoHyphens/>
        <w:spacing w:after="160" w:line="278" w:lineRule="auto"/>
        <w:jc w:val="both"/>
        <w:rPr>
          <w:rFonts w:ascii="Arial" w:eastAsia="Arial" w:hAnsi="Arial" w:cs="Arial"/>
        </w:rPr>
      </w:pPr>
      <w:r>
        <w:rPr>
          <w:rFonts w:ascii="Aptos" w:eastAsia="Aptos" w:hAnsi="Aptos" w:cs="Aptos"/>
          <w:kern w:val="2"/>
        </w:rPr>
        <w:t>BCC zgłasza obawy dotyczące projektu wprowadzenia dodatkowych sankcji podatkowych na gruncie podatku dochodowego dla os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b fizycznych i os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b prawnych (PIT i CIT) związanych  z niewłaściwą autoidentyfikacją nabywcy. Zdaniem ekspert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w zaproponowane kary są rozwiązaniem zbyt daleko idącym. Natomiast aktualne rozwiązania mogą obarczać nabywcę odpowiedzialnością za sytuacje, na kt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re nie miał wpływu np. gdy nabywca dopełnił wszystkich procedur samoidentyfikacji, a mimo to faktura nie została przekazana do KSeF przez sprzedawcę, co może skutkować brakiem możliwości zaliczenia jej do koszt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 xml:space="preserve">w podatkowych przez nabywcę. </w:t>
      </w:r>
      <w:r>
        <w:rPr>
          <w:rFonts w:ascii="Aptos" w:eastAsia="Aptos" w:hAnsi="Aptos" w:cs="Aptos"/>
          <w:b/>
          <w:bCs/>
          <w:kern w:val="2"/>
        </w:rPr>
        <w:t>BCC sugeruje, aby Ministerstwo Finans</w:t>
      </w:r>
      <w:r>
        <w:rPr>
          <w:rFonts w:ascii="Aptos" w:eastAsia="Aptos" w:hAnsi="Aptos" w:cs="Aptos"/>
          <w:b/>
          <w:bCs/>
          <w:kern w:val="2"/>
          <w:lang w:val="es-ES_tradnl"/>
        </w:rPr>
        <w:t>ó</w:t>
      </w:r>
      <w:r>
        <w:rPr>
          <w:rFonts w:ascii="Aptos" w:eastAsia="Aptos" w:hAnsi="Aptos" w:cs="Aptos"/>
          <w:b/>
          <w:bCs/>
          <w:kern w:val="2"/>
        </w:rPr>
        <w:t>w rozważyło modyfikację propozycji samoidentyfikacji i sankcji na gruncie podatku dochodowego od os</w:t>
      </w:r>
      <w:r>
        <w:rPr>
          <w:rFonts w:ascii="Aptos" w:eastAsia="Aptos" w:hAnsi="Aptos" w:cs="Aptos"/>
          <w:b/>
          <w:bCs/>
          <w:kern w:val="2"/>
          <w:lang w:val="es-ES_tradnl"/>
        </w:rPr>
        <w:t>ó</w:t>
      </w:r>
      <w:r>
        <w:rPr>
          <w:rFonts w:ascii="Aptos" w:eastAsia="Aptos" w:hAnsi="Aptos" w:cs="Aptos"/>
          <w:b/>
          <w:bCs/>
          <w:kern w:val="2"/>
        </w:rPr>
        <w:t>b fizycznych oraz os</w:t>
      </w:r>
      <w:r>
        <w:rPr>
          <w:rFonts w:ascii="Aptos" w:eastAsia="Aptos" w:hAnsi="Aptos" w:cs="Aptos"/>
          <w:b/>
          <w:bCs/>
          <w:kern w:val="2"/>
          <w:lang w:val="es-ES_tradnl"/>
        </w:rPr>
        <w:t>ó</w:t>
      </w:r>
      <w:r>
        <w:rPr>
          <w:rFonts w:ascii="Aptos" w:eastAsia="Aptos" w:hAnsi="Aptos" w:cs="Aptos"/>
          <w:b/>
          <w:bCs/>
          <w:kern w:val="2"/>
        </w:rPr>
        <w:t>b prawnych w taki spos</w:t>
      </w:r>
      <w:r>
        <w:rPr>
          <w:rFonts w:ascii="Aptos" w:eastAsia="Aptos" w:hAnsi="Aptos" w:cs="Aptos"/>
          <w:b/>
          <w:bCs/>
          <w:kern w:val="2"/>
          <w:lang w:val="es-ES_tradnl"/>
        </w:rPr>
        <w:t>ó</w:t>
      </w:r>
      <w:r>
        <w:rPr>
          <w:rFonts w:ascii="Aptos" w:eastAsia="Aptos" w:hAnsi="Aptos" w:cs="Aptos"/>
          <w:b/>
          <w:bCs/>
          <w:kern w:val="2"/>
        </w:rPr>
        <w:t>b, aby zminimalizować ryzyko nieuzasadnionej odpowiedzialności nabywcy.</w:t>
      </w:r>
    </w:p>
    <w:p w:rsidR="00485B10" w:rsidRDefault="00000000">
      <w:pPr>
        <w:shd w:val="clear" w:color="auto" w:fill="FFFFFF"/>
        <w:suppressAutoHyphens/>
        <w:spacing w:after="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de-DE"/>
        </w:rPr>
        <w:t>KONIECZNE UPROSZCZENIA</w:t>
      </w:r>
    </w:p>
    <w:p w:rsidR="00485B10" w:rsidRDefault="00485B10">
      <w:pPr>
        <w:shd w:val="clear" w:color="auto" w:fill="FFFFFF"/>
        <w:suppressAutoHyphens/>
        <w:spacing w:after="0" w:line="288" w:lineRule="auto"/>
        <w:jc w:val="both"/>
        <w:rPr>
          <w:kern w:val="2"/>
        </w:rPr>
      </w:pPr>
    </w:p>
    <w:p w:rsidR="00485B10" w:rsidRDefault="00000000">
      <w:pPr>
        <w:suppressAutoHyphens/>
        <w:spacing w:after="160" w:line="278" w:lineRule="auto"/>
        <w:jc w:val="both"/>
        <w:rPr>
          <w:rFonts w:ascii="Aptos" w:eastAsia="Aptos" w:hAnsi="Aptos" w:cs="Aptos"/>
          <w:kern w:val="2"/>
        </w:rPr>
      </w:pPr>
      <w:r>
        <w:rPr>
          <w:rFonts w:ascii="Aptos" w:eastAsia="Aptos" w:hAnsi="Aptos" w:cs="Aptos"/>
          <w:kern w:val="2"/>
        </w:rPr>
        <w:t>BCC zwraca uwagę, że głównym powodem opóźnień w pełnym wdrożeniu obowiązkowego KSeF jest obawa o niewystarczającą przepustowość systemu, a wprowadzenie skomplikowanych załącznik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w go dodatkowo obciąż</w:t>
      </w:r>
      <w:r>
        <w:rPr>
          <w:rFonts w:ascii="Aptos" w:eastAsia="Aptos" w:hAnsi="Aptos" w:cs="Aptos"/>
          <w:kern w:val="2"/>
          <w:lang w:val="it-IT"/>
        </w:rPr>
        <w:t xml:space="preserve">a. </w:t>
      </w:r>
      <w:r>
        <w:rPr>
          <w:rFonts w:ascii="Aptos" w:eastAsia="Aptos" w:hAnsi="Aptos" w:cs="Aptos"/>
          <w:kern w:val="2"/>
        </w:rPr>
        <w:t>Z dzisiejszego brzmienia przepis</w:t>
      </w:r>
      <w:r>
        <w:rPr>
          <w:rFonts w:ascii="Aptos" w:eastAsia="Aptos" w:hAnsi="Aptos" w:cs="Aptos"/>
          <w:kern w:val="2"/>
          <w:lang w:val="es-ES_tradnl"/>
        </w:rPr>
        <w:t>ó</w:t>
      </w:r>
      <w:r>
        <w:rPr>
          <w:rFonts w:ascii="Aptos" w:eastAsia="Aptos" w:hAnsi="Aptos" w:cs="Aptos"/>
          <w:kern w:val="2"/>
        </w:rPr>
        <w:t>w trudno wnioskować jednoznacznie, kto dysponuje prawem do posługiwania się załącznikami w KSeF.</w:t>
      </w:r>
      <w:r>
        <w:rPr>
          <w:rFonts w:ascii="Aptos" w:eastAsia="Aptos" w:hAnsi="Aptos" w:cs="Aptos"/>
          <w:i/>
          <w:iCs/>
          <w:kern w:val="2"/>
        </w:rPr>
        <w:t xml:space="preserve"> </w:t>
      </w:r>
      <w:r>
        <w:rPr>
          <w:rFonts w:ascii="Aptos" w:eastAsia="Aptos" w:hAnsi="Aptos" w:cs="Aptos"/>
          <w:kern w:val="2"/>
        </w:rPr>
        <w:t xml:space="preserve">Eksperci zwracają uwagę, że: </w:t>
      </w:r>
      <w:r>
        <w:rPr>
          <w:rFonts w:ascii="Aptos" w:eastAsia="Aptos" w:hAnsi="Aptos" w:cs="Aptos"/>
          <w:kern w:val="2"/>
          <w:lang w:val="ru-RU"/>
        </w:rPr>
        <w:t xml:space="preserve">- </w:t>
      </w:r>
      <w:r>
        <w:rPr>
          <w:rFonts w:ascii="Aptos" w:eastAsia="Aptos" w:hAnsi="Aptos" w:cs="Aptos"/>
          <w:i/>
          <w:iCs/>
          <w:kern w:val="2"/>
        </w:rPr>
        <w:t>Wprowadzenie rozwiązania, kt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re nie byłoby szeroko dostępne dla wszystkich podatnik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w, może prowadzić do nier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wności podatkowej               i niesp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jnego traktowania wszystkich uczestnik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w rynku. Zdaniem BCC temat załącznik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w do faktur w KSeF powinien być przedmiotem dalszych dyskusji, w kt</w:t>
      </w:r>
      <w:r>
        <w:rPr>
          <w:rFonts w:ascii="Aptos" w:eastAsia="Aptos" w:hAnsi="Aptos" w:cs="Aptos"/>
          <w:i/>
          <w:iCs/>
          <w:kern w:val="2"/>
          <w:lang w:val="es-ES_tradnl"/>
        </w:rPr>
        <w:t>ó</w:t>
      </w:r>
      <w:r>
        <w:rPr>
          <w:rFonts w:ascii="Aptos" w:eastAsia="Aptos" w:hAnsi="Aptos" w:cs="Aptos"/>
          <w:i/>
          <w:iCs/>
          <w:kern w:val="2"/>
        </w:rPr>
        <w:t>rych kluczowe będzie umożliwienie ich fakultatywnego stosowania wszystkim podatnikom.</w:t>
      </w:r>
      <w:r>
        <w:rPr>
          <w:rFonts w:ascii="Aptos" w:eastAsia="Aptos" w:hAnsi="Aptos" w:cs="Aptos"/>
          <w:kern w:val="2"/>
        </w:rPr>
        <w:br/>
      </w:r>
    </w:p>
    <w:p w:rsidR="00485B10" w:rsidRDefault="00000000">
      <w:pPr>
        <w:spacing w:after="160" w:line="278" w:lineRule="auto"/>
        <w:rPr>
          <w:rStyle w:val="Brak"/>
          <w:rFonts w:ascii="Arial" w:eastAsia="Arial" w:hAnsi="Arial" w:cs="Arial"/>
          <w:b/>
          <w:bCs/>
          <w:color w:val="AF3033"/>
          <w:kern w:val="2"/>
          <w:sz w:val="24"/>
          <w:szCs w:val="24"/>
          <w:u w:color="AF3033"/>
        </w:rPr>
      </w:pPr>
      <w:hyperlink r:id="rId8" w:history="1">
        <w:r>
          <w:rPr>
            <w:rStyle w:val="Hyperlink0"/>
            <w:rFonts w:eastAsia="Arial Unicode MS"/>
          </w:rPr>
          <w:t>Stanowisko BCC</w:t>
        </w:r>
      </w:hyperlink>
    </w:p>
    <w:p w:rsidR="00485B10" w:rsidRDefault="00485B10">
      <w:pPr>
        <w:shd w:val="clear" w:color="auto" w:fill="FFFFFF"/>
        <w:suppressAutoHyphens/>
        <w:spacing w:after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es-ES_tradnl"/>
        </w:rPr>
      </w:pPr>
    </w:p>
    <w:p w:rsidR="00485B10" w:rsidRDefault="00485B10">
      <w:pPr>
        <w:shd w:val="clear" w:color="auto" w:fill="FFFFFF"/>
        <w:suppressAutoHyphens/>
        <w:spacing w:after="0" w:line="240" w:lineRule="auto"/>
        <w:jc w:val="both"/>
        <w:rPr>
          <w:rStyle w:val="Brak"/>
          <w:rFonts w:ascii="Arial" w:eastAsia="Arial" w:hAnsi="Arial" w:cs="Arial"/>
          <w:shd w:val="clear" w:color="auto" w:fill="FFFFFF"/>
        </w:rPr>
      </w:pPr>
    </w:p>
    <w:p w:rsidR="00485B10" w:rsidRDefault="00000000">
      <w:pPr>
        <w:suppressAutoHyphens/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  <w:u w:val="single"/>
        </w:rPr>
      </w:pPr>
      <w:r>
        <w:rPr>
          <w:rStyle w:val="Brak"/>
          <w:rFonts w:ascii="Arial" w:hAnsi="Arial"/>
          <w:sz w:val="18"/>
          <w:szCs w:val="18"/>
          <w:u w:val="single"/>
          <w:lang w:val="en-US"/>
        </w:rPr>
        <w:lastRenderedPageBreak/>
        <w:t>Kontakt:</w:t>
      </w:r>
    </w:p>
    <w:p w:rsidR="00485B10" w:rsidRDefault="00485B10">
      <w:pPr>
        <w:suppressAutoHyphens/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  <w:u w:val="single"/>
          <w:lang w:val="en-US"/>
        </w:rPr>
      </w:pPr>
    </w:p>
    <w:p w:rsidR="00485B10" w:rsidRDefault="00000000">
      <w:pPr>
        <w:suppressAutoHyphens/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lang w:val="en-US"/>
        </w:rPr>
        <w:t>Agencja Open Minded Group pr@openmindedgroup.pl</w:t>
      </w:r>
    </w:p>
    <w:p w:rsidR="00485B10" w:rsidRDefault="00000000">
      <w:pPr>
        <w:pStyle w:val="TreA"/>
        <w:suppressAutoHyphens/>
        <w:spacing w:line="240" w:lineRule="auto"/>
        <w:jc w:val="both"/>
        <w:rPr>
          <w:rStyle w:val="Brak"/>
          <w:rFonts w:ascii="Arial" w:eastAsia="Arial" w:hAnsi="Arial" w:cs="Arial"/>
          <w:sz w:val="18"/>
          <w:szCs w:val="18"/>
          <w:u w:val="single"/>
        </w:rPr>
      </w:pPr>
      <w:r>
        <w:rPr>
          <w:rStyle w:val="Brak"/>
          <w:rFonts w:ascii="Arial" w:hAnsi="Arial"/>
          <w:sz w:val="18"/>
          <w:szCs w:val="18"/>
        </w:rPr>
        <w:t xml:space="preserve">Renata Stefanowska (BCC): </w:t>
      </w:r>
      <w:hyperlink r:id="rId9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8"/>
          <w:szCs w:val="18"/>
        </w:rPr>
        <w:t xml:space="preserve">  </w:t>
      </w:r>
    </w:p>
    <w:p w:rsidR="00485B10" w:rsidRDefault="00000000">
      <w:pPr>
        <w:pStyle w:val="TreA"/>
        <w:suppressAutoHyphens/>
        <w:spacing w:line="240" w:lineRule="auto"/>
        <w:jc w:val="both"/>
        <w:rPr>
          <w:rStyle w:val="Brak"/>
          <w:rFonts w:ascii="Arial" w:eastAsia="Arial" w:hAnsi="Arial" w:cs="Arial"/>
          <w:color w:val="800080"/>
          <w:sz w:val="18"/>
          <w:szCs w:val="18"/>
          <w:u w:val="single" w:color="800080"/>
        </w:rPr>
      </w:pPr>
      <w:hyperlink r:id="rId10" w:history="1">
        <w:r>
          <w:rPr>
            <w:rStyle w:val="Hyperlink1"/>
          </w:rPr>
          <w:t>www.bcc.org.pl</w:t>
        </w:r>
      </w:hyperlink>
    </w:p>
    <w:p w:rsidR="00485B10" w:rsidRDefault="00485B10">
      <w:pPr>
        <w:suppressAutoHyphens/>
        <w:spacing w:line="240" w:lineRule="auto"/>
        <w:jc w:val="both"/>
        <w:rPr>
          <w:rStyle w:val="Brak"/>
          <w:rFonts w:ascii="Arial" w:eastAsia="Arial" w:hAnsi="Arial" w:cs="Arial"/>
        </w:rPr>
      </w:pPr>
    </w:p>
    <w:p w:rsidR="00485B10" w:rsidRDefault="00000000">
      <w:pPr>
        <w:pBdr>
          <w:top w:val="single" w:sz="4" w:space="0" w:color="000000"/>
        </w:pBdr>
        <w:suppressAutoHyphens/>
        <w:spacing w:after="0" w:line="240" w:lineRule="auto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eastAsia="Arial" w:hAnsi="Arial" w:cs="Arial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485B10" w:rsidRDefault="00000000">
      <w:pPr>
        <w:suppressAutoHyphens/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  <w:bookmarkStart w:id="0" w:name="_Hlk164253520"/>
      <w:r>
        <w:rPr>
          <w:rStyle w:val="Brak"/>
          <w:rFonts w:ascii="Arial" w:hAnsi="Arial"/>
          <w:sz w:val="18"/>
          <w:szCs w:val="18"/>
        </w:rPr>
        <w:t>Business Centre Club to największa w kraju ustawowa organizacja indywidualnych pracodawc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w. Członkowie Klubu zatrudniają ponad 400 tys. pracownik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w, przychody firm to ponad 200 miliard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</w:rPr>
        <w:t xml:space="preserve">w są także prawnicy, dziennikarze, naukowcy, wydawcy, lekarze, wojskowi i studenci. </w:t>
      </w:r>
    </w:p>
    <w:p w:rsidR="00485B10" w:rsidRDefault="00485B10">
      <w:pPr>
        <w:suppressAutoHyphens/>
        <w:spacing w:after="0" w:line="240" w:lineRule="auto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:rsidR="00485B10" w:rsidRDefault="00000000">
      <w:pPr>
        <w:suppressAutoHyphens/>
        <w:spacing w:after="0" w:line="240" w:lineRule="auto"/>
        <w:jc w:val="both"/>
      </w:pPr>
      <w:r>
        <w:rPr>
          <w:rStyle w:val="Brak"/>
          <w:rFonts w:ascii="Arial" w:hAnsi="Arial"/>
          <w:sz w:val="18"/>
          <w:szCs w:val="18"/>
        </w:rPr>
        <w:t xml:space="preserve">Business Centre Club w mediach społecznościowych: </w:t>
      </w:r>
      <w:hyperlink r:id="rId12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8"/>
          <w:szCs w:val="18"/>
        </w:rPr>
        <w:t xml:space="preserve"> </w:t>
      </w:r>
      <w:hyperlink r:id="rId13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8"/>
          <w:szCs w:val="18"/>
        </w:rPr>
        <w:t xml:space="preserve"> </w:t>
      </w:r>
      <w:bookmarkEnd w:id="0"/>
      <w:r>
        <w:rPr>
          <w:rStyle w:val="Hyperlink3"/>
        </w:rPr>
        <w:fldChar w:fldCharType="begin"/>
      </w:r>
      <w:r>
        <w:rPr>
          <w:rStyle w:val="Hyperlink3"/>
        </w:rPr>
        <w:instrText xml:space="preserve"> HYPERLINK "http://www.twitter.com/BCCorg"</w:instrText>
      </w:r>
      <w:r>
        <w:rPr>
          <w:rStyle w:val="Hyperlink3"/>
        </w:rPr>
      </w:r>
      <w:r>
        <w:rPr>
          <w:rStyle w:val="Hyperlink3"/>
        </w:rPr>
        <w:fldChar w:fldCharType="separate"/>
      </w:r>
      <w:r>
        <w:rPr>
          <w:rStyle w:val="Hyperlink3"/>
        </w:rPr>
        <w:t>Twitter &gt;</w:t>
      </w:r>
      <w:r>
        <w:fldChar w:fldCharType="end"/>
      </w:r>
    </w:p>
    <w:sectPr w:rsidR="00485B10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7228B" w:rsidRDefault="00C7228B">
      <w:pPr>
        <w:spacing w:after="0" w:line="240" w:lineRule="auto"/>
      </w:pPr>
      <w:r>
        <w:separator/>
      </w:r>
    </w:p>
  </w:endnote>
  <w:endnote w:type="continuationSeparator" w:id="0">
    <w:p w:rsidR="00C7228B" w:rsidRDefault="00C7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5B10" w:rsidRDefault="00485B1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7228B" w:rsidRDefault="00C7228B">
      <w:pPr>
        <w:spacing w:after="0" w:line="240" w:lineRule="auto"/>
      </w:pPr>
      <w:r>
        <w:separator/>
      </w:r>
    </w:p>
  </w:footnote>
  <w:footnote w:type="continuationSeparator" w:id="0">
    <w:p w:rsidR="00C7228B" w:rsidRDefault="00C7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85B10" w:rsidRDefault="00485B1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E55CF"/>
    <w:multiLevelType w:val="hybridMultilevel"/>
    <w:tmpl w:val="3D5EAB00"/>
    <w:styleLink w:val="Punktory"/>
    <w:lvl w:ilvl="0" w:tplc="D3FAD35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0B632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60" w:hanging="1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600B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BE177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F2A50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3ECFA8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CD3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59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2D36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E90B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60" w:hanging="1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177F79"/>
    <w:multiLevelType w:val="hybridMultilevel"/>
    <w:tmpl w:val="3D5EAB00"/>
    <w:numStyleLink w:val="Punktory"/>
  </w:abstractNum>
  <w:num w:numId="1" w16cid:durableId="157236143">
    <w:abstractNumId w:val="0"/>
  </w:num>
  <w:num w:numId="2" w16cid:durableId="192118149">
    <w:abstractNumId w:val="1"/>
  </w:num>
  <w:num w:numId="3" w16cid:durableId="1817067176">
    <w:abstractNumId w:val="1"/>
    <w:lvlOverride w:ilvl="0">
      <w:lvl w:ilvl="0" w:tplc="3FA03C64">
        <w:start w:val="1"/>
        <w:numFmt w:val="bullet"/>
        <w:lvlText w:val="-"/>
        <w:lvlJc w:val="left"/>
        <w:pPr>
          <w:ind w:left="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C68DF9A">
        <w:start w:val="1"/>
        <w:numFmt w:val="bullet"/>
        <w:lvlText w:val="-"/>
        <w:lvlJc w:val="left"/>
        <w:pPr>
          <w:ind w:left="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C6FAEA">
        <w:start w:val="1"/>
        <w:numFmt w:val="bullet"/>
        <w:lvlText w:val="-"/>
        <w:lvlJc w:val="left"/>
        <w:pPr>
          <w:ind w:left="1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580EE0">
        <w:start w:val="1"/>
        <w:numFmt w:val="bullet"/>
        <w:lvlText w:val="-"/>
        <w:lvlJc w:val="left"/>
        <w:pPr>
          <w:ind w:left="1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DE03536">
        <w:start w:val="1"/>
        <w:numFmt w:val="bullet"/>
        <w:lvlText w:val="-"/>
        <w:lvlJc w:val="left"/>
        <w:pPr>
          <w:ind w:left="25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92ECBC8">
        <w:start w:val="1"/>
        <w:numFmt w:val="bullet"/>
        <w:lvlText w:val="-"/>
        <w:lvlJc w:val="left"/>
        <w:pPr>
          <w:ind w:left="31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A4691E0">
        <w:start w:val="1"/>
        <w:numFmt w:val="bullet"/>
        <w:lvlText w:val="-"/>
        <w:lvlJc w:val="left"/>
        <w:pPr>
          <w:ind w:left="37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784F318">
        <w:start w:val="1"/>
        <w:numFmt w:val="bullet"/>
        <w:lvlText w:val="-"/>
        <w:lvlJc w:val="left"/>
        <w:pPr>
          <w:ind w:left="43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72E1912">
        <w:start w:val="1"/>
        <w:numFmt w:val="bullet"/>
        <w:lvlText w:val="-"/>
        <w:lvlJc w:val="left"/>
        <w:pPr>
          <w:ind w:left="4974" w:hanging="1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10"/>
    <w:rsid w:val="00485B10"/>
    <w:rsid w:val="00B6599C"/>
    <w:rsid w:val="00B77B78"/>
    <w:rsid w:val="00C7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7182-04BD-421D-A894-0F3B12E8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A">
    <w:name w:val="Brak A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outline w:val="0"/>
      <w:color w:val="AF3033"/>
      <w:sz w:val="24"/>
      <w:szCs w:val="24"/>
      <w:u w:val="none" w:color="AF3033"/>
    </w:rPr>
  </w:style>
  <w:style w:type="paragraph" w:customStyle="1" w:styleId="TreA">
    <w:name w:val="Treść A"/>
    <w:pPr>
      <w:spacing w:after="200" w:line="276" w:lineRule="auto"/>
    </w:pPr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wp-content/uploads/ksef-stanowisko-bcc.docx" TargetMode="External"/><Relationship Id="rId13" Type="http://schemas.openxmlformats.org/officeDocument/2006/relationships/hyperlink" Target="http://www.facebook.com/businesscentreclu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cc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5435</Characters>
  <Application>Microsoft Office Word</Application>
  <DocSecurity>0</DocSecurity>
  <Lines>45</Lines>
  <Paragraphs>12</Paragraphs>
  <ScaleCrop>false</ScaleCrop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2</cp:revision>
  <dcterms:created xsi:type="dcterms:W3CDTF">2024-05-15T09:07:00Z</dcterms:created>
  <dcterms:modified xsi:type="dcterms:W3CDTF">2024-05-15T09:07:00Z</dcterms:modified>
</cp:coreProperties>
</file>