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26"/>
        <w:gridCol w:w="2216"/>
        <w:gridCol w:w="1723"/>
        <w:gridCol w:w="3859"/>
        <w:gridCol w:w="5470"/>
      </w:tblGrid>
      <w:tr w:rsidR="00C63F1E" w:rsidRPr="00C576FE" w14:paraId="08D7ACA3" w14:textId="77777777" w:rsidTr="00C576FE">
        <w:trPr>
          <w:trHeight w:val="592"/>
          <w:jc w:val="center"/>
        </w:trPr>
        <w:tc>
          <w:tcPr>
            <w:tcW w:w="13857" w:type="dxa"/>
            <w:gridSpan w:val="5"/>
            <w:vAlign w:val="center"/>
          </w:tcPr>
          <w:p w14:paraId="06D3DD26" w14:textId="1A6C46C4" w:rsidR="00C63F1E" w:rsidRPr="00C576FE" w:rsidRDefault="00C63F1E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Uwagi do </w:t>
            </w:r>
            <w:r w:rsidRPr="00C576FE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projektu </w:t>
            </w:r>
            <w:r w:rsidR="00C474DB" w:rsidRPr="00C576FE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pl-PL"/>
              </w:rPr>
              <w:t>Programu regulacyjnego na lata 2026-2028</w:t>
            </w:r>
            <w:r w:rsidR="00E06B53" w:rsidRPr="00C576FE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94520" w:rsidRPr="00C576FE" w14:paraId="61A9757C" w14:textId="13216385" w:rsidTr="00C576FE">
        <w:trPr>
          <w:trHeight w:val="592"/>
          <w:jc w:val="center"/>
        </w:trPr>
        <w:tc>
          <w:tcPr>
            <w:tcW w:w="589" w:type="dxa"/>
            <w:vAlign w:val="center"/>
          </w:tcPr>
          <w:p w14:paraId="550694AC" w14:textId="77777777" w:rsidR="00994520" w:rsidRPr="00C576FE" w:rsidRDefault="00994520" w:rsidP="004A2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6" w:type="dxa"/>
            <w:vAlign w:val="center"/>
          </w:tcPr>
          <w:p w14:paraId="3F54FE8C" w14:textId="4C753590" w:rsidR="00994520" w:rsidRPr="00C576FE" w:rsidRDefault="00994520" w:rsidP="00994520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 redakcyjna, której uwaga dotyczy/ strona/ pkt Uzasadnienia/</w:t>
            </w:r>
          </w:p>
          <w:p w14:paraId="3AB60D83" w14:textId="77777777" w:rsidR="00994520" w:rsidRPr="00C576FE" w:rsidRDefault="00994520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pkt OSR</w:t>
            </w:r>
          </w:p>
        </w:tc>
        <w:tc>
          <w:tcPr>
            <w:tcW w:w="1723" w:type="dxa"/>
            <w:vAlign w:val="center"/>
          </w:tcPr>
          <w:p w14:paraId="75312D75" w14:textId="77777777" w:rsidR="00994520" w:rsidRPr="00C576FE" w:rsidRDefault="00994520" w:rsidP="004A2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 zgłaszający</w:t>
            </w:r>
          </w:p>
        </w:tc>
        <w:tc>
          <w:tcPr>
            <w:tcW w:w="3859" w:type="dxa"/>
            <w:vAlign w:val="center"/>
          </w:tcPr>
          <w:p w14:paraId="7AA9DDA8" w14:textId="100233B8" w:rsidR="00994520" w:rsidRPr="00C576FE" w:rsidRDefault="00994520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5470" w:type="dxa"/>
            <w:vAlign w:val="center"/>
          </w:tcPr>
          <w:p w14:paraId="02F3A8D5" w14:textId="65A0FEBD" w:rsidR="00994520" w:rsidRPr="00C576FE" w:rsidRDefault="00994520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Propozycja zmiany</w:t>
            </w:r>
            <w:r w:rsidR="00B04E2C" w:rsidRPr="00C57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Podmiotu zgłaszającego</w:t>
            </w:r>
          </w:p>
        </w:tc>
      </w:tr>
      <w:tr w:rsidR="00994520" w:rsidRPr="00C576FE" w14:paraId="057CB4DC" w14:textId="3160D4F4" w:rsidTr="00C576FE">
        <w:trPr>
          <w:trHeight w:val="1655"/>
          <w:jc w:val="center"/>
        </w:trPr>
        <w:tc>
          <w:tcPr>
            <w:tcW w:w="589" w:type="dxa"/>
          </w:tcPr>
          <w:p w14:paraId="3D0CEED6" w14:textId="77777777" w:rsidR="00994520" w:rsidRPr="00C576FE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7B754326" w14:textId="77777777" w:rsidR="00C576FE" w:rsidRPr="00C576FE" w:rsidRDefault="00C576FE" w:rsidP="00C5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Działanie 1.1. </w:t>
            </w:r>
          </w:p>
          <w:p w14:paraId="34336AF3" w14:textId="253EF622" w:rsidR="00994520" w:rsidRPr="00C576FE" w:rsidRDefault="00C576FE" w:rsidP="00C5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Deregulacja jako stały mechanizm rządowy</w:t>
            </w:r>
          </w:p>
        </w:tc>
        <w:tc>
          <w:tcPr>
            <w:tcW w:w="1723" w:type="dxa"/>
            <w:vAlign w:val="center"/>
          </w:tcPr>
          <w:p w14:paraId="339AB2A3" w14:textId="48F85264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BCC</w:t>
            </w:r>
          </w:p>
        </w:tc>
        <w:tc>
          <w:tcPr>
            <w:tcW w:w="3859" w:type="dxa"/>
            <w:vAlign w:val="center"/>
          </w:tcPr>
          <w:p w14:paraId="788E7C19" w14:textId="77777777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Wskaźnik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Przygotowanie co najmniej 30 propozycji </w:t>
            </w:r>
            <w:proofErr w:type="spellStart"/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deregulacyjnych</w:t>
            </w:r>
            <w:proofErr w:type="spellEnd"/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rocznie w formie projektu lub projektów ustaw</w:t>
            </w:r>
          </w:p>
          <w:p w14:paraId="7D036E15" w14:textId="0DDD7875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W świetle informacji, że </w:t>
            </w:r>
            <w:r w:rsidRPr="00653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„Zgodnie z postanowieniem ministra do spraw nadzoru nad wdrażaniem polityki rządu, do końca II kwartału 2026 r. zaplanowano przyjęcie przez Radę Ministrów co najmniej 200 zmian </w:t>
            </w:r>
            <w:proofErr w:type="spellStart"/>
            <w:r w:rsidRPr="00653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deregulacyjnych</w:t>
            </w:r>
            <w:proofErr w:type="spellEnd"/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7E05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liczba 30 propozycji </w:t>
            </w:r>
            <w:proofErr w:type="spellStart"/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deregulacyjnych</w:t>
            </w:r>
            <w:proofErr w:type="spellEnd"/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rocznie jest zdecydowanie niedostateczna, nie wykorzystująca istniejącego już potencjału rządu ani nie odpowiadająca na oczekiwania przedsiębiorców dot. efektywnej kontynuacji procesu </w:t>
            </w:r>
            <w:proofErr w:type="spellStart"/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deregulac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yjnego</w:t>
            </w:r>
            <w:proofErr w:type="spellEnd"/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C3E032" w14:textId="0BFA66D6" w:rsidR="00C576FE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0" w:type="dxa"/>
            <w:vAlign w:val="center"/>
          </w:tcPr>
          <w:p w14:paraId="6AD66DCE" w14:textId="01A30DF3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Przygotowanie co najmniej </w:t>
            </w: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250 propozycji </w:t>
            </w:r>
            <w:proofErr w:type="spellStart"/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deregulacyjnych</w:t>
            </w:r>
            <w:proofErr w:type="spellEnd"/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w roku 2026, 100 w 2027, 100 w 2028,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formie projektu lub projektów ustaw.</w:t>
            </w:r>
          </w:p>
        </w:tc>
      </w:tr>
      <w:tr w:rsidR="00994520" w:rsidRPr="00C576FE" w14:paraId="79DFCF99" w14:textId="3149CB61" w:rsidTr="00C576FE">
        <w:trPr>
          <w:jc w:val="center"/>
        </w:trPr>
        <w:tc>
          <w:tcPr>
            <w:tcW w:w="589" w:type="dxa"/>
          </w:tcPr>
          <w:p w14:paraId="1C331578" w14:textId="77777777" w:rsidR="00994520" w:rsidRPr="00C576FE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4CD0A4B0" w14:textId="77777777" w:rsidR="00C576FE" w:rsidRPr="00C576FE" w:rsidRDefault="00C576FE" w:rsidP="00C576FE">
            <w:pPr>
              <w:pStyle w:val="Nagwek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0" w:name="_Toc217927143"/>
            <w:bookmarkStart w:id="1" w:name="_Toc219276863"/>
            <w:r w:rsidRPr="00C576F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Działanie 1.2. Systemowe zmiany </w:t>
            </w:r>
            <w:proofErr w:type="spellStart"/>
            <w:r w:rsidRPr="00C576F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deregulacyjne</w:t>
            </w:r>
            <w:bookmarkEnd w:id="0"/>
            <w:bookmarkEnd w:id="1"/>
            <w:proofErr w:type="spellEnd"/>
            <w:r w:rsidRPr="00C576F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14:paraId="6ECB6340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0BAB731B" w14:textId="0D2FF1E8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BCC</w:t>
            </w:r>
          </w:p>
        </w:tc>
        <w:tc>
          <w:tcPr>
            <w:tcW w:w="3859" w:type="dxa"/>
            <w:vAlign w:val="center"/>
          </w:tcPr>
          <w:p w14:paraId="4B6B992A" w14:textId="4646AEBF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Propozycja zmian </w:t>
            </w:r>
            <w:proofErr w:type="spellStart"/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deregulacyjnych</w:t>
            </w:r>
            <w:proofErr w:type="spellEnd"/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mających na celu przyspieszenie spraw sądowych wydaje się propozycją nierealistycznie ambitną (o ile Projektodawcy chodzi o sprawy sądowe wszystkich rodzajów). Należałoby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doprecyzować, czyli 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ograniczyć zaplanowane działania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jedynie 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do przyspieszenia spraw prowadzonych przez sądy/wydziały rozpoznające sprawy gospodarcze.</w:t>
            </w:r>
          </w:p>
        </w:tc>
        <w:tc>
          <w:tcPr>
            <w:tcW w:w="5470" w:type="dxa"/>
            <w:vAlign w:val="center"/>
          </w:tcPr>
          <w:p w14:paraId="3BF774EA" w14:textId="0B5C3000" w:rsidR="00C576FE" w:rsidRPr="00C576FE" w:rsidRDefault="00C576FE" w:rsidP="00C576FE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zaplanowano prace nad systemowymi, pogłębionymi zmianami </w:t>
            </w:r>
            <w:proofErr w:type="spellStart"/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deregulacyjnymi</w:t>
            </w:r>
            <w:proofErr w:type="spellEnd"/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z udziałem szerszej grupy partnerów publicznych. Prace będą dotyczyły trzech obszarów, zidentyfikowanych jako kluczowe, tj. uproszczenia systemu podatkowego, wsparcia komponentu krajowego w kluczowych procesach inwestycyjnych spółek z udziałem Skarbu Państwa, a także przyspieszenia spraw sądowych prowadzonych przez </w:t>
            </w: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sądy/wydziały rozpoznające sprawy gospodarcze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70C212D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20" w:rsidRPr="00C576FE" w14:paraId="0214EC81" w14:textId="5CC51B09" w:rsidTr="00C576FE">
        <w:trPr>
          <w:jc w:val="center"/>
        </w:trPr>
        <w:tc>
          <w:tcPr>
            <w:tcW w:w="589" w:type="dxa"/>
          </w:tcPr>
          <w:p w14:paraId="1A2C1DA4" w14:textId="77777777" w:rsidR="00994520" w:rsidRPr="00C576FE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070A07FE" w14:textId="77777777" w:rsidR="00C576FE" w:rsidRPr="00C576FE" w:rsidRDefault="00C576FE" w:rsidP="00C576FE">
            <w:pPr>
              <w:pStyle w:val="Nagwek2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2" w:name="_Toc217927144"/>
            <w:bookmarkStart w:id="3" w:name="_Toc219276864"/>
            <w:r w:rsidRPr="00C576F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Działanie 1.3. Kontynuacja działań </w:t>
            </w:r>
            <w:proofErr w:type="spellStart"/>
            <w:r w:rsidRPr="00C576F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deregulacyjnych</w:t>
            </w:r>
            <w:proofErr w:type="spellEnd"/>
            <w:r w:rsidRPr="00C576F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o charakterze punktowym przez ministerstwa</w:t>
            </w:r>
            <w:bookmarkEnd w:id="2"/>
            <w:bookmarkEnd w:id="3"/>
          </w:p>
          <w:p w14:paraId="2979D633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421B3027" w14:textId="5D9B5A6F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BCC</w:t>
            </w:r>
          </w:p>
        </w:tc>
        <w:tc>
          <w:tcPr>
            <w:tcW w:w="3859" w:type="dxa"/>
            <w:vAlign w:val="center"/>
          </w:tcPr>
          <w:p w14:paraId="05F9C101" w14:textId="77777777" w:rsidR="00C576FE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197F4" w14:textId="081BDA10" w:rsidR="00C576FE" w:rsidRPr="00C576FE" w:rsidRDefault="00C576FE" w:rsidP="00C576FE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Działania </w:t>
            </w:r>
            <w:proofErr w:type="spellStart"/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deregulacyjne</w:t>
            </w:r>
            <w:proofErr w:type="spellEnd"/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powinny być kontynuowane przez poszczególnych ministrów, jednak bez wyszczególnienia w Programie indywidualnych tematów, zebranych z bardzo ograniczonej liczby ministerstw, które wyglądają na przypadkowe, a w poszczególnych przypadkach nie mające nawet charakteru </w:t>
            </w:r>
            <w:proofErr w:type="spellStart"/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deregulacyjnego</w:t>
            </w:r>
            <w:proofErr w:type="spellEnd"/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, takie, jak np.: </w:t>
            </w:r>
          </w:p>
          <w:p w14:paraId="4DBEAD61" w14:textId="3F9B4B69" w:rsidR="00994520" w:rsidRPr="00C576FE" w:rsidRDefault="00C576FE" w:rsidP="00C576FE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Minister właściwy do spraw klimatu i środowiska:</w:t>
            </w:r>
          </w:p>
          <w:p w14:paraId="270E327D" w14:textId="0CA28CFA" w:rsidR="00C576FE" w:rsidRPr="00C576FE" w:rsidRDefault="00C576FE" w:rsidP="00C576FE">
            <w:pPr>
              <w:spacing w:after="1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Kluczowym celem regulacji będzie znaczący wzrost udziału odnawialnych źródeł energii w końcowym zużyciu energii brutto do co najmniej 42,5% do 2030 r. – w transporcie (do 29%), budownictwie (do 49%), a także w ciepłownictwie i chłodnictwie;”</w:t>
            </w:r>
          </w:p>
          <w:p w14:paraId="281328E7" w14:textId="38E6802F" w:rsidR="00C576FE" w:rsidRPr="00C576FE" w:rsidRDefault="00C576FE" w:rsidP="00C576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uzupełni ramy regulacyjne dotyczące wychwytu, transportu i składowania dwutlenku węgla”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, itp.</w:t>
            </w:r>
          </w:p>
        </w:tc>
        <w:tc>
          <w:tcPr>
            <w:tcW w:w="5470" w:type="dxa"/>
            <w:vAlign w:val="center"/>
          </w:tcPr>
          <w:p w14:paraId="099B787F" w14:textId="363BC5AF" w:rsidR="00C576FE" w:rsidRPr="00C576FE" w:rsidRDefault="00C576FE" w:rsidP="00C576F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Działania </w:t>
            </w:r>
            <w:proofErr w:type="spellStart"/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deregulacyjne</w:t>
            </w:r>
            <w:proofErr w:type="spellEnd"/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będą kontynuowane przez poszczególnych ministrów. Stosowne projekty ministerstw zostaną skonsultowane ze stroną organizacji przedsiębiorców i przesłane do rządowego Zespołu ds. deregulacji.</w:t>
            </w:r>
          </w:p>
          <w:p w14:paraId="10AAFE37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20" w:rsidRPr="00C576FE" w14:paraId="4C896EFA" w14:textId="7A6D73A0" w:rsidTr="00C576FE">
        <w:trPr>
          <w:jc w:val="center"/>
        </w:trPr>
        <w:tc>
          <w:tcPr>
            <w:tcW w:w="589" w:type="dxa"/>
          </w:tcPr>
          <w:p w14:paraId="77C1C862" w14:textId="77777777" w:rsidR="00994520" w:rsidRPr="00C576FE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179CA131" w14:textId="77777777" w:rsidR="00C576FE" w:rsidRPr="00C576FE" w:rsidRDefault="00C576FE" w:rsidP="00C576FE">
            <w:pPr>
              <w:pStyle w:val="Nagwek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4" w:name="_Toc217927146"/>
            <w:bookmarkStart w:id="5" w:name="_Toc219276866"/>
            <w:r w:rsidRPr="00C576F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Działanie 2.1. Rozwój metodyki szacowania kosztów wynikających z obowiązków administracyjnych i budowa wspólnoty praktyków</w:t>
            </w:r>
            <w:bookmarkEnd w:id="4"/>
            <w:bookmarkEnd w:id="5"/>
            <w:r w:rsidRPr="00C576F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14:paraId="6031484B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5DAF5D5B" w14:textId="2C881CFA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BCC</w:t>
            </w:r>
          </w:p>
        </w:tc>
        <w:tc>
          <w:tcPr>
            <w:tcW w:w="3859" w:type="dxa"/>
            <w:vAlign w:val="center"/>
          </w:tcPr>
          <w:p w14:paraId="2B9D4C6B" w14:textId="649559EB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Nie wiadomo, co w praktyce będzie oznaczać nieokreślone sformułowanie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– „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Ponadto powstanie </w:t>
            </w: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wspólnota praktyków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skupiająca pracowników administracji rządowej w poszczególnych resortach, której celem będzie </w:t>
            </w: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promowanie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dobrych praktyk oraz identyfikowanie problemów związanych ze stosowaniem zasady równoważenia obowiązków administracyjnych w praktyce”.</w:t>
            </w:r>
          </w:p>
        </w:tc>
        <w:tc>
          <w:tcPr>
            <w:tcW w:w="5470" w:type="dxa"/>
            <w:vAlign w:val="center"/>
          </w:tcPr>
          <w:p w14:paraId="53F9A800" w14:textId="5C4BED5E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zaplanować powołanie stosownego zespołu, jego umiejscowienie w strukturze instytucji rz</w:t>
            </w:r>
            <w:r w:rsidR="007B431D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dowych oraz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jasno określić kryteria zaliczenia pracowników administracji rządowej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mające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promować dobre praktyki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także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jasno określić, jakie działania będą składać się na „promowanie”.</w:t>
            </w:r>
          </w:p>
        </w:tc>
      </w:tr>
      <w:tr w:rsidR="00994520" w:rsidRPr="00C576FE" w14:paraId="23850926" w14:textId="0AA7A214" w:rsidTr="00C576FE">
        <w:trPr>
          <w:jc w:val="center"/>
        </w:trPr>
        <w:tc>
          <w:tcPr>
            <w:tcW w:w="589" w:type="dxa"/>
          </w:tcPr>
          <w:p w14:paraId="4F7338F2" w14:textId="77777777" w:rsidR="00994520" w:rsidRPr="00C576FE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0E9F0E3B" w14:textId="77777777" w:rsidR="00C576FE" w:rsidRPr="00C576FE" w:rsidRDefault="00C576FE" w:rsidP="00C576FE">
            <w:pPr>
              <w:pStyle w:val="Nagwek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6" w:name="_Toc217927149"/>
            <w:bookmarkStart w:id="7" w:name="_Toc219276869"/>
            <w:r w:rsidRPr="00C576F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Działanie 3.1. Nowe narzędzia cyfrowe dla przedsiębiorców i obywateli</w:t>
            </w:r>
            <w:bookmarkEnd w:id="6"/>
            <w:bookmarkEnd w:id="7"/>
          </w:p>
          <w:p w14:paraId="125C8ABC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03431A94" w14:textId="0FE0A138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BCC</w:t>
            </w:r>
          </w:p>
        </w:tc>
        <w:tc>
          <w:tcPr>
            <w:tcW w:w="3859" w:type="dxa"/>
            <w:vAlign w:val="center"/>
          </w:tcPr>
          <w:p w14:paraId="2E89D726" w14:textId="3AEF209A" w:rsidR="00C576FE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Lista zadań do wykonania przez wskazane w Programie, nieliczne ministerstwa w okresie 3 lat (do końca 2028 roku) jest zdecydowanie zbyt skromna, jak na tak długi okres. Powinna zostać znacznie rozszerzona i uzupełniona o pozostałe ministerstwa, ponieważ to cały rząd powinien wdrażać </w:t>
            </w:r>
            <w:r w:rsidRPr="00653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„Nowe narzędzia cyfrowe dla przedsiębiorców i obywateli”.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BC9C34" w14:textId="77777777" w:rsidR="00C576FE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468E3" w14:textId="2BA9B61F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Właściwi ministrowie planują wdrożenie wachlarza nowych narzędzi cyfrowych z myślą zarówno o przedsiębiorcach, jak i obywatelach:”</w:t>
            </w:r>
          </w:p>
          <w:p w14:paraId="17B8CD32" w14:textId="77777777" w:rsidR="00C576FE" w:rsidRPr="00C576FE" w:rsidRDefault="00C576FE" w:rsidP="00C576FE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Wskaźnik: 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Przygotowanie projektów zmian legislacyjnych we wskazanych obszarach </w:t>
            </w:r>
          </w:p>
          <w:p w14:paraId="27A4ACE4" w14:textId="77777777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Realizacja: 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właściwi ministrowie</w:t>
            </w:r>
          </w:p>
          <w:p w14:paraId="7389635E" w14:textId="77777777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Termin: 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 końca 2028</w:t>
            </w:r>
          </w:p>
          <w:p w14:paraId="405F4FCC" w14:textId="52396EC2" w:rsidR="00C576FE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0" w:type="dxa"/>
            <w:vAlign w:val="center"/>
          </w:tcPr>
          <w:p w14:paraId="776C7DEE" w14:textId="096645DD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Realizacja: 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wszyscy ministrowie</w:t>
            </w:r>
          </w:p>
          <w:p w14:paraId="5C019DC0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20" w:rsidRPr="00C576FE" w14:paraId="65225417" w14:textId="3B012D5E" w:rsidTr="00C576FE">
        <w:trPr>
          <w:jc w:val="center"/>
        </w:trPr>
        <w:tc>
          <w:tcPr>
            <w:tcW w:w="589" w:type="dxa"/>
          </w:tcPr>
          <w:p w14:paraId="41BCBE96" w14:textId="77777777" w:rsidR="00994520" w:rsidRPr="00C576FE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0AC99B0C" w14:textId="4EF22087" w:rsidR="00C576FE" w:rsidRPr="00C576FE" w:rsidRDefault="00C576FE" w:rsidP="00C576FE">
            <w:pPr>
              <w:pStyle w:val="Nagwek1"/>
              <w:pageBreakBefore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" w:name="_Toc211522740"/>
            <w:bookmarkStart w:id="9" w:name="_Toc217927152"/>
            <w:bookmarkStart w:id="10" w:name="_Toc219276872"/>
            <w:bookmarkStart w:id="11" w:name="_Toc217927154"/>
            <w:bookmarkStart w:id="12" w:name="_Toc219276874"/>
            <w:r w:rsidRPr="00C576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Obszar 2. </w:t>
            </w:r>
            <w:bookmarkEnd w:id="8"/>
            <w:r w:rsidRPr="00C576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System ewaluacji prawa</w:t>
            </w:r>
            <w:bookmarkEnd w:id="9"/>
            <w:bookmarkEnd w:id="10"/>
          </w:p>
          <w:p w14:paraId="522F0E2B" w14:textId="1CAF43D2" w:rsidR="00C576FE" w:rsidRPr="00C576FE" w:rsidRDefault="00C576FE" w:rsidP="00C576FE">
            <w:pPr>
              <w:pStyle w:val="Nagwek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Działanie 1.1. Przygotowanie nowych formularzy oceny wpływu regulacji</w:t>
            </w:r>
            <w:bookmarkEnd w:id="11"/>
            <w:bookmarkEnd w:id="12"/>
          </w:p>
          <w:p w14:paraId="00E85AC9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6CEF7FC6" w14:textId="32515D73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BCC</w:t>
            </w:r>
          </w:p>
        </w:tc>
        <w:tc>
          <w:tcPr>
            <w:tcW w:w="3859" w:type="dxa"/>
            <w:vAlign w:val="center"/>
          </w:tcPr>
          <w:p w14:paraId="15561F89" w14:textId="77777777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Wskaźnik: 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Przygotowanie nowych formularzy OSR i OSR ex post oraz uproszczonego formularza OSR do projektów dokumentów rządowych niebędących ustawami</w:t>
            </w:r>
          </w:p>
          <w:p w14:paraId="127E126F" w14:textId="1D3C4B98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Termin: 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2026/2027</w:t>
            </w:r>
          </w:p>
          <w:p w14:paraId="3B05B5F5" w14:textId="4E0CE652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Termin wykonania powyższego, bardzo ważnego zadania powinien być jak najszybszy, gdyż bez nowych, poprawionych formularzy OSR oraz OSR ex post niemożliwa będzie poprawa jakości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procedowanych projektów 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rozporządzeń i ustaw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a także przygotowanie dobrej jakości ocen skutków regulacji ex post. </w:t>
            </w:r>
          </w:p>
        </w:tc>
        <w:tc>
          <w:tcPr>
            <w:tcW w:w="5470" w:type="dxa"/>
            <w:vAlign w:val="center"/>
          </w:tcPr>
          <w:p w14:paraId="1EDEBC38" w14:textId="63E599B0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Termin: II kw.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  <w:p w14:paraId="37364B29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20" w:rsidRPr="00C576FE" w14:paraId="154E9B0F" w14:textId="247B5A00" w:rsidTr="00C576FE">
        <w:trPr>
          <w:jc w:val="center"/>
        </w:trPr>
        <w:tc>
          <w:tcPr>
            <w:tcW w:w="589" w:type="dxa"/>
          </w:tcPr>
          <w:p w14:paraId="060CC0A0" w14:textId="77777777" w:rsidR="00994520" w:rsidRDefault="00C576FE" w:rsidP="00C576FE">
            <w:pPr>
              <w:spacing w:before="120"/>
              <w:ind w:left="360" w:right="-5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  <w:p w14:paraId="53F5B276" w14:textId="77777777" w:rsidR="00C576FE" w:rsidRPr="00C576FE" w:rsidRDefault="00C576FE" w:rsidP="00C57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122AC" w14:textId="77777777" w:rsidR="00C576FE" w:rsidRPr="00C576FE" w:rsidRDefault="00C576FE" w:rsidP="00C57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515C8" w14:textId="77777777" w:rsidR="00C576FE" w:rsidRPr="00C576FE" w:rsidRDefault="00C576FE" w:rsidP="00C57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B2FD0" w14:textId="77777777" w:rsidR="00C576FE" w:rsidRDefault="00C576FE" w:rsidP="00C57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685D8F" w14:textId="77777777" w:rsidR="00C576FE" w:rsidRPr="00C576FE" w:rsidRDefault="00C576FE" w:rsidP="00C57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66EC0" w14:textId="77777777" w:rsidR="00C576FE" w:rsidRDefault="00C576FE" w:rsidP="00C57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617BC4" w14:textId="77777777" w:rsidR="00C576FE" w:rsidRDefault="00C576FE" w:rsidP="00C57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59AFC9" w14:textId="77777777" w:rsidR="00C576FE" w:rsidRDefault="00C576FE" w:rsidP="00C57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0D942" w14:textId="30976E34" w:rsidR="00C576FE" w:rsidRPr="00C576FE" w:rsidRDefault="00C576FE" w:rsidP="00C576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216" w:type="dxa"/>
            <w:vAlign w:val="center"/>
          </w:tcPr>
          <w:p w14:paraId="158984A0" w14:textId="77777777" w:rsidR="00C576FE" w:rsidRPr="00C576FE" w:rsidRDefault="00C576FE" w:rsidP="00C576FE">
            <w:pPr>
              <w:pStyle w:val="Nagwek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13" w:name="_Toc217927156"/>
            <w:bookmarkStart w:id="14" w:name="_Toc219276876"/>
            <w:r w:rsidRPr="00C576F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Działanie 1.3. Efektywne zaangażowanie interesariuszy w proces legislacyjny, w tym w ocenę funkcjonowania aktów normatywnych</w:t>
            </w:r>
            <w:bookmarkEnd w:id="13"/>
            <w:bookmarkEnd w:id="14"/>
          </w:p>
          <w:p w14:paraId="489BB030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17C2FAFB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351ED157" w14:textId="77777777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Wskaźnik: 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Narzędzie do konsultacji online w ramach </w:t>
            </w:r>
            <w:proofErr w:type="spellStart"/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eRPL</w:t>
            </w:r>
            <w:proofErr w:type="spellEnd"/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umożliwiające zaangażowanie interesariuszy w ocenę funkcjonowania aktów normatywnych</w:t>
            </w: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836F6F8" w14:textId="77777777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Wskaźnik: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Przygotowanie portalu poświęconego konsultacjom</w:t>
            </w:r>
          </w:p>
          <w:p w14:paraId="0A06CD67" w14:textId="77777777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Termin: 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2027</w:t>
            </w:r>
          </w:p>
          <w:p w14:paraId="66B426FB" w14:textId="77777777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2E2324FC" w14:textId="1003AB47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Termin wykonania powyższego, bardzo ważnego zadania powinien być jak najszybszy, ponieważ </w:t>
            </w:r>
            <w:r w:rsidRPr="00C576FE">
              <w:rPr>
                <w:rFonts w:ascii="Times New Roman" w:eastAsia="Calibri" w:hAnsi="Times New Roman" w:cs="Times New Roman"/>
                <w:sz w:val="20"/>
                <w:szCs w:val="20"/>
              </w:rPr>
              <w:t>umożliwienie udziału interesariuszy w </w:t>
            </w:r>
            <w:proofErr w:type="spellStart"/>
            <w:r w:rsidRPr="00C576FE">
              <w:rPr>
                <w:rFonts w:ascii="Times New Roman" w:eastAsia="Calibri" w:hAnsi="Times New Roman" w:cs="Times New Roman"/>
                <w:sz w:val="20"/>
                <w:szCs w:val="20"/>
              </w:rPr>
              <w:t>prekonsultacjach</w:t>
            </w:r>
            <w:proofErr w:type="spellEnd"/>
            <w:r w:rsidRPr="00C576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jak również w konsultacjach OSR </w:t>
            </w:r>
            <w:r w:rsidRPr="00C576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ex post </w:t>
            </w:r>
            <w:r w:rsidRPr="00C576FE">
              <w:rPr>
                <w:rFonts w:ascii="Times New Roman" w:eastAsia="Calibri" w:hAnsi="Times New Roman" w:cs="Times New Roman"/>
                <w:sz w:val="20"/>
                <w:szCs w:val="20"/>
              </w:rPr>
              <w:t>stanowi warunek poprawy jakości procesu konsultacji a w konsekwencji – jakości procedowanego projektu aktu normatywnego.</w:t>
            </w:r>
          </w:p>
        </w:tc>
        <w:tc>
          <w:tcPr>
            <w:tcW w:w="5470" w:type="dxa"/>
            <w:vAlign w:val="center"/>
          </w:tcPr>
          <w:p w14:paraId="208A908C" w14:textId="2D1B0154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Termin: II kw. 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  <w:p w14:paraId="2B3876C9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20" w:rsidRPr="00C576FE" w14:paraId="4EBAFF89" w14:textId="005F6E97" w:rsidTr="00C576FE">
        <w:trPr>
          <w:jc w:val="center"/>
        </w:trPr>
        <w:tc>
          <w:tcPr>
            <w:tcW w:w="589" w:type="dxa"/>
          </w:tcPr>
          <w:p w14:paraId="0289DE3F" w14:textId="77777777" w:rsidR="00994520" w:rsidRDefault="00C576FE" w:rsidP="00C576FE">
            <w:pPr>
              <w:spacing w:before="120"/>
              <w:ind w:left="360" w:right="-5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14:paraId="77A79239" w14:textId="77777777" w:rsidR="00C576FE" w:rsidRPr="00C576FE" w:rsidRDefault="00C576FE" w:rsidP="00C57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59E87" w14:textId="77777777" w:rsidR="00C576FE" w:rsidRDefault="00C576FE" w:rsidP="00C57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49827F" w14:textId="77777777" w:rsidR="00C576FE" w:rsidRDefault="00C576FE" w:rsidP="00C57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6CB6AE" w14:textId="77777777" w:rsidR="00C576FE" w:rsidRDefault="00C576FE" w:rsidP="00C57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9F5B2E" w14:textId="457CE014" w:rsidR="00C576FE" w:rsidRPr="00C576FE" w:rsidRDefault="00C576FE" w:rsidP="00C576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216" w:type="dxa"/>
            <w:vAlign w:val="center"/>
          </w:tcPr>
          <w:p w14:paraId="0115486E" w14:textId="77777777" w:rsidR="00C576FE" w:rsidRPr="00C576FE" w:rsidRDefault="00C576FE" w:rsidP="00C576FE">
            <w:pPr>
              <w:pStyle w:val="Nagwek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15" w:name="_Toc217927158"/>
            <w:bookmarkStart w:id="16" w:name="_Toc219276878"/>
            <w:r w:rsidRPr="00C576F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Działanie 1.5. Ewaluacja wieloletnich przepisów dotyczących działalności gospodarczej</w:t>
            </w:r>
            <w:bookmarkEnd w:id="15"/>
            <w:bookmarkEnd w:id="16"/>
          </w:p>
          <w:p w14:paraId="1379A731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D0FAE1C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02D97AA" w14:textId="77777777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Wskaźnik: 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Wytypowanie rocznie co najmniej jednego obowiązującego aktu normatywnego lub jego części, dotyczącego podejmowania, wykonywania lub zakończenia działalności gospodarczej, który wszedł w życie przed 2001 r. do oceny funkcjonowania</w:t>
            </w: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D974190" w14:textId="4F324385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Jeżeli to Zespół ds. Programowania Prac Rządu ma być odpowiedzialny za wytypowanie do analizy ex post aktów normatywnych przyjętych przed 2001 rokiem, to nie powinno się to wiązać z konkretną liczbą takich aktów, ponieważ należy rozumieć, że „typowanie” nie jest sporządzeniem oceny ex post. Typowanie (czyli wskazanie), co do tematyki oraz liczby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aktów normatywnych sprzed 2001 roku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powinno stać się wynikiem analizy a następnie uzgodnień z poszczególnymi 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ministerstwami, które zostaną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przez Zespół 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zobowiązane do przeprowadzenia takiej oceny.</w:t>
            </w:r>
          </w:p>
        </w:tc>
        <w:tc>
          <w:tcPr>
            <w:tcW w:w="5470" w:type="dxa"/>
            <w:vAlign w:val="center"/>
          </w:tcPr>
          <w:p w14:paraId="6822495B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20" w:rsidRPr="00C576FE" w14:paraId="1EDA3D65" w14:textId="0364AA25" w:rsidTr="00C576FE">
        <w:trPr>
          <w:jc w:val="center"/>
        </w:trPr>
        <w:tc>
          <w:tcPr>
            <w:tcW w:w="589" w:type="dxa"/>
          </w:tcPr>
          <w:p w14:paraId="1E7B6D0D" w14:textId="77777777" w:rsidR="00994520" w:rsidRDefault="00994520" w:rsidP="00C576FE">
            <w:pPr>
              <w:spacing w:before="120"/>
              <w:ind w:left="360" w:right="-5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EAA7FF" w14:textId="77777777" w:rsidR="00C576FE" w:rsidRPr="00C576FE" w:rsidRDefault="00C576FE" w:rsidP="00C57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C085B" w14:textId="77777777" w:rsidR="00C576FE" w:rsidRPr="00C576FE" w:rsidRDefault="00C576FE" w:rsidP="00C57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DC9A8" w14:textId="77777777" w:rsidR="00C576FE" w:rsidRDefault="00C576FE" w:rsidP="00C57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4BC42" w14:textId="77777777" w:rsidR="00C576FE" w:rsidRPr="00C576FE" w:rsidRDefault="00C576FE" w:rsidP="00C57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4C6A1" w14:textId="77777777" w:rsidR="00C576FE" w:rsidRDefault="00C576FE" w:rsidP="00C57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0B5A97" w14:textId="77777777" w:rsidR="00C576FE" w:rsidRDefault="00C576FE" w:rsidP="00C57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219BF5" w14:textId="77777777" w:rsidR="00C576FE" w:rsidRDefault="00C576FE" w:rsidP="00C57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EA1CE2" w14:textId="1AC62118" w:rsidR="00C576FE" w:rsidRPr="00C576FE" w:rsidRDefault="00C576FE" w:rsidP="00C576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216" w:type="dxa"/>
            <w:vAlign w:val="center"/>
          </w:tcPr>
          <w:p w14:paraId="68BC1ABD" w14:textId="77777777" w:rsidR="00C576FE" w:rsidRPr="00C576FE" w:rsidRDefault="00C576FE" w:rsidP="00C576FE">
            <w:pPr>
              <w:pStyle w:val="Nagwek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17" w:name="_Toc217927159"/>
            <w:bookmarkStart w:id="18" w:name="_Toc219276879"/>
            <w:r w:rsidRPr="00C576F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Działanie 1.6. Przegląd w sektorach i </w:t>
            </w:r>
            <w:bookmarkStart w:id="19" w:name="_Hlk214741671"/>
            <w:r w:rsidRPr="00C576F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testy prawa w rzeczywistości z inicjatywy własnej resortów</w:t>
            </w:r>
            <w:bookmarkEnd w:id="17"/>
            <w:bookmarkEnd w:id="18"/>
          </w:p>
          <w:bookmarkEnd w:id="19"/>
          <w:p w14:paraId="0E62FC72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067B5C16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7B919861" w14:textId="77777777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Wskaźnik: 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Przeprowadzenie co najmniej 2 przeglądów obszarów prawa gospodarczego</w:t>
            </w: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B8FB1EF" w14:textId="77777777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Realizacja: 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właściwi ministrowie</w:t>
            </w: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2A9D87E" w14:textId="77777777" w:rsidR="00C576FE" w:rsidRPr="00C576FE" w:rsidRDefault="00C576FE" w:rsidP="00C57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1EBF7" w:themeFill="text2" w:themeFillTint="1A"/>
              <w:spacing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Termin: 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 końca 2028</w:t>
            </w:r>
          </w:p>
          <w:p w14:paraId="45887416" w14:textId="7572109B" w:rsidR="00994520" w:rsidRPr="00C576FE" w:rsidRDefault="00C576FE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Zaprezentowany powyżej Wskaźnik, czyli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576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576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Przeprowadzenie co najmniej 2 przeglądów obszarów prawa gospodarczego 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należy zdecydowanie zwiększyć, ponieważ już w proponowanej liczbie 2 przeglądów jest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niespójny z Działaniem 1.2/Priorytet 1, gdzie wymienione są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ystemowe zmiany </w:t>
            </w:r>
            <w:proofErr w:type="spellStart"/>
            <w:r w:rsidRPr="00C576FE">
              <w:rPr>
                <w:rFonts w:ascii="Times New Roman" w:hAnsi="Times New Roman" w:cs="Times New Roman"/>
                <w:sz w:val="20"/>
                <w:szCs w:val="20"/>
              </w:rPr>
              <w:t>deregulacyjne</w:t>
            </w:r>
            <w:proofErr w:type="spellEnd"/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dotyczące </w:t>
            </w:r>
            <w:r w:rsidRPr="00C57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trzech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obszarów: uproszczenie systemu podatkowego, wsparcie komponentu krajowego w kluczowych procesach inwestycyjnych spółek z udziałem Skarbu Państwa, a także przyspieszeni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576FE">
              <w:rPr>
                <w:rFonts w:ascii="Times New Roman" w:hAnsi="Times New Roman" w:cs="Times New Roman"/>
                <w:sz w:val="20"/>
                <w:szCs w:val="20"/>
              </w:rPr>
              <w:t xml:space="preserve"> spraw sądowych.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Ich termin realizacji zaplanowano już na 2027 rok. Należy więc zwiększyć zaplanowaną, ogólną liczbę do 5-6 przeglądów w okresie do końca 2028 roku.</w:t>
            </w:r>
          </w:p>
        </w:tc>
        <w:tc>
          <w:tcPr>
            <w:tcW w:w="5470" w:type="dxa"/>
            <w:vAlign w:val="center"/>
          </w:tcPr>
          <w:p w14:paraId="47E00AF5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20" w:rsidRPr="00C576FE" w14:paraId="0D271879" w14:textId="33BF056F" w:rsidTr="00C576FE">
        <w:trPr>
          <w:jc w:val="center"/>
        </w:trPr>
        <w:tc>
          <w:tcPr>
            <w:tcW w:w="589" w:type="dxa"/>
          </w:tcPr>
          <w:p w14:paraId="35721785" w14:textId="77777777" w:rsidR="00994520" w:rsidRPr="00C576FE" w:rsidRDefault="00994520" w:rsidP="00C576FE">
            <w:pPr>
              <w:spacing w:before="120"/>
              <w:ind w:left="360" w:right="-5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74FD1C42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2D32131A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7513A17C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0" w:type="dxa"/>
            <w:vAlign w:val="center"/>
          </w:tcPr>
          <w:p w14:paraId="42404C1D" w14:textId="77777777" w:rsidR="00994520" w:rsidRPr="00C576FE" w:rsidRDefault="00994520" w:rsidP="004A2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9535CB" w14:textId="77777777" w:rsidR="009A3389" w:rsidRPr="00C576FE" w:rsidRDefault="009A3389" w:rsidP="00443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9A3389" w:rsidRPr="00C576FE" w:rsidSect="001E3320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413A" w14:textId="77777777" w:rsidR="00BE5734" w:rsidRDefault="00BE5734" w:rsidP="00735AA5">
      <w:pPr>
        <w:spacing w:after="0" w:line="240" w:lineRule="auto"/>
      </w:pPr>
      <w:r>
        <w:separator/>
      </w:r>
    </w:p>
  </w:endnote>
  <w:endnote w:type="continuationSeparator" w:id="0">
    <w:p w14:paraId="4967B685" w14:textId="77777777" w:rsidR="00BE5734" w:rsidRDefault="00BE5734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Content>
      <w:p w14:paraId="7934F7E4" w14:textId="77777777" w:rsidR="000B346A" w:rsidRPr="000B346A" w:rsidRDefault="000B346A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Pr="000B346A">
          <w:rPr>
            <w:rFonts w:ascii="Arial" w:hAnsi="Arial" w:cs="Arial"/>
            <w:sz w:val="18"/>
          </w:rPr>
          <w:fldChar w:fldCharType="separate"/>
        </w:r>
        <w:r w:rsidR="00C63F1E">
          <w:rPr>
            <w:rFonts w:ascii="Arial" w:hAnsi="Arial" w:cs="Arial"/>
            <w:noProof/>
            <w:sz w:val="18"/>
          </w:rPr>
          <w:t>1</w:t>
        </w:r>
        <w:r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14:paraId="0016E416" w14:textId="77777777" w:rsidR="00735AA5" w:rsidRDefault="00735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F84C" w14:textId="77777777" w:rsidR="00BE5734" w:rsidRDefault="00BE5734" w:rsidP="00735AA5">
      <w:pPr>
        <w:spacing w:after="0" w:line="240" w:lineRule="auto"/>
      </w:pPr>
      <w:r>
        <w:separator/>
      </w:r>
    </w:p>
  </w:footnote>
  <w:footnote w:type="continuationSeparator" w:id="0">
    <w:p w14:paraId="41972B8C" w14:textId="77777777" w:rsidR="00BE5734" w:rsidRDefault="00BE5734" w:rsidP="0073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422"/>
    <w:multiLevelType w:val="hybridMultilevel"/>
    <w:tmpl w:val="1EA4D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3421"/>
    <w:multiLevelType w:val="hybridMultilevel"/>
    <w:tmpl w:val="3F3C30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9C8"/>
    <w:multiLevelType w:val="hybridMultilevel"/>
    <w:tmpl w:val="401489DE"/>
    <w:lvl w:ilvl="0" w:tplc="2408B1AA">
      <w:start w:val="2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784680D"/>
    <w:multiLevelType w:val="hybridMultilevel"/>
    <w:tmpl w:val="2BB4171C"/>
    <w:lvl w:ilvl="0" w:tplc="BAE6A3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1F484FB4"/>
    <w:multiLevelType w:val="hybridMultilevel"/>
    <w:tmpl w:val="49FA505E"/>
    <w:lvl w:ilvl="0" w:tplc="8B141934">
      <w:start w:val="20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3A3B1EFB"/>
    <w:multiLevelType w:val="hybridMultilevel"/>
    <w:tmpl w:val="C524AFA2"/>
    <w:lvl w:ilvl="0" w:tplc="A5AC32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C0214"/>
    <w:multiLevelType w:val="hybridMultilevel"/>
    <w:tmpl w:val="7C7C3DCC"/>
    <w:lvl w:ilvl="0" w:tplc="A7C6D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4397A"/>
    <w:multiLevelType w:val="hybridMultilevel"/>
    <w:tmpl w:val="DBDC15D6"/>
    <w:lvl w:ilvl="0" w:tplc="01545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09D4"/>
    <w:multiLevelType w:val="hybridMultilevel"/>
    <w:tmpl w:val="F4C82F44"/>
    <w:lvl w:ilvl="0" w:tplc="BBC653A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0" w15:restartNumberingAfterBreak="0">
    <w:nsid w:val="72253848"/>
    <w:multiLevelType w:val="hybridMultilevel"/>
    <w:tmpl w:val="8F10F6AE"/>
    <w:lvl w:ilvl="0" w:tplc="C7B04F10">
      <w:start w:val="2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1" w15:restartNumberingAfterBreak="0">
    <w:nsid w:val="764744B3"/>
    <w:multiLevelType w:val="hybridMultilevel"/>
    <w:tmpl w:val="363600DC"/>
    <w:lvl w:ilvl="0" w:tplc="FF98001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19967647">
    <w:abstractNumId w:val="3"/>
  </w:num>
  <w:num w:numId="2" w16cid:durableId="1237980901">
    <w:abstractNumId w:val="4"/>
  </w:num>
  <w:num w:numId="3" w16cid:durableId="1444032500">
    <w:abstractNumId w:val="10"/>
  </w:num>
  <w:num w:numId="4" w16cid:durableId="868683513">
    <w:abstractNumId w:val="2"/>
  </w:num>
  <w:num w:numId="5" w16cid:durableId="2071146715">
    <w:abstractNumId w:val="11"/>
  </w:num>
  <w:num w:numId="6" w16cid:durableId="1725983803">
    <w:abstractNumId w:val="9"/>
  </w:num>
  <w:num w:numId="7" w16cid:durableId="1623153390">
    <w:abstractNumId w:val="0"/>
  </w:num>
  <w:num w:numId="8" w16cid:durableId="1949661376">
    <w:abstractNumId w:val="1"/>
  </w:num>
  <w:num w:numId="9" w16cid:durableId="964120807">
    <w:abstractNumId w:val="8"/>
  </w:num>
  <w:num w:numId="10" w16cid:durableId="1116753874">
    <w:abstractNumId w:val="7"/>
  </w:num>
  <w:num w:numId="11" w16cid:durableId="564682052">
    <w:abstractNumId w:val="6"/>
  </w:num>
  <w:num w:numId="12" w16cid:durableId="35812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7"/>
    <w:rsid w:val="000153D6"/>
    <w:rsid w:val="00037F08"/>
    <w:rsid w:val="00084817"/>
    <w:rsid w:val="00085E2E"/>
    <w:rsid w:val="00091F2A"/>
    <w:rsid w:val="000A7997"/>
    <w:rsid w:val="000B1157"/>
    <w:rsid w:val="000B346A"/>
    <w:rsid w:val="0011358D"/>
    <w:rsid w:val="00141978"/>
    <w:rsid w:val="00177EC3"/>
    <w:rsid w:val="00194ECC"/>
    <w:rsid w:val="001E01AE"/>
    <w:rsid w:val="001E3320"/>
    <w:rsid w:val="001F0431"/>
    <w:rsid w:val="001F3A0F"/>
    <w:rsid w:val="00242233"/>
    <w:rsid w:val="00256644"/>
    <w:rsid w:val="002662EA"/>
    <w:rsid w:val="002A0A47"/>
    <w:rsid w:val="002E0918"/>
    <w:rsid w:val="002E144E"/>
    <w:rsid w:val="0035353E"/>
    <w:rsid w:val="003706A6"/>
    <w:rsid w:val="003A430E"/>
    <w:rsid w:val="003D7D21"/>
    <w:rsid w:val="003E0958"/>
    <w:rsid w:val="003F2ED2"/>
    <w:rsid w:val="00414EA2"/>
    <w:rsid w:val="00443077"/>
    <w:rsid w:val="00452E52"/>
    <w:rsid w:val="004977F7"/>
    <w:rsid w:val="004A28E0"/>
    <w:rsid w:val="004E0816"/>
    <w:rsid w:val="004F3C83"/>
    <w:rsid w:val="00530836"/>
    <w:rsid w:val="00537F4C"/>
    <w:rsid w:val="00545CD3"/>
    <w:rsid w:val="00571115"/>
    <w:rsid w:val="005B5FE6"/>
    <w:rsid w:val="005D442D"/>
    <w:rsid w:val="0063768E"/>
    <w:rsid w:val="0065316A"/>
    <w:rsid w:val="006669AD"/>
    <w:rsid w:val="00674BCF"/>
    <w:rsid w:val="00696388"/>
    <w:rsid w:val="006C2BC9"/>
    <w:rsid w:val="006C42B2"/>
    <w:rsid w:val="006E584D"/>
    <w:rsid w:val="006F0D7B"/>
    <w:rsid w:val="006F1155"/>
    <w:rsid w:val="006F6137"/>
    <w:rsid w:val="007018E8"/>
    <w:rsid w:val="00730C35"/>
    <w:rsid w:val="00735AA5"/>
    <w:rsid w:val="00751B0F"/>
    <w:rsid w:val="0076077D"/>
    <w:rsid w:val="007824E5"/>
    <w:rsid w:val="007B431D"/>
    <w:rsid w:val="007C47F3"/>
    <w:rsid w:val="007E05B2"/>
    <w:rsid w:val="007F39C0"/>
    <w:rsid w:val="008203CF"/>
    <w:rsid w:val="00830132"/>
    <w:rsid w:val="009532CB"/>
    <w:rsid w:val="009614B2"/>
    <w:rsid w:val="009672B1"/>
    <w:rsid w:val="00983A14"/>
    <w:rsid w:val="009923E7"/>
    <w:rsid w:val="00994520"/>
    <w:rsid w:val="009A3389"/>
    <w:rsid w:val="009D4953"/>
    <w:rsid w:val="009F3A1A"/>
    <w:rsid w:val="00A01C81"/>
    <w:rsid w:val="00A11E28"/>
    <w:rsid w:val="00A1326C"/>
    <w:rsid w:val="00A407A4"/>
    <w:rsid w:val="00A64143"/>
    <w:rsid w:val="00A65542"/>
    <w:rsid w:val="00A92454"/>
    <w:rsid w:val="00AF2DCB"/>
    <w:rsid w:val="00AF5CDF"/>
    <w:rsid w:val="00B0068C"/>
    <w:rsid w:val="00B04E2C"/>
    <w:rsid w:val="00B15F59"/>
    <w:rsid w:val="00BD1AB7"/>
    <w:rsid w:val="00BE5734"/>
    <w:rsid w:val="00BF7807"/>
    <w:rsid w:val="00C22A1F"/>
    <w:rsid w:val="00C474DB"/>
    <w:rsid w:val="00C576FE"/>
    <w:rsid w:val="00C63F1E"/>
    <w:rsid w:val="00CA71D3"/>
    <w:rsid w:val="00CB5636"/>
    <w:rsid w:val="00D23483"/>
    <w:rsid w:val="00D34082"/>
    <w:rsid w:val="00D91A4C"/>
    <w:rsid w:val="00DA6250"/>
    <w:rsid w:val="00DB397C"/>
    <w:rsid w:val="00E06B53"/>
    <w:rsid w:val="00E2744F"/>
    <w:rsid w:val="00E67BF3"/>
    <w:rsid w:val="00E70BEC"/>
    <w:rsid w:val="00E7699F"/>
    <w:rsid w:val="00E92DC4"/>
    <w:rsid w:val="00EB5B1E"/>
    <w:rsid w:val="00EC7543"/>
    <w:rsid w:val="00ED553D"/>
    <w:rsid w:val="00F03C16"/>
    <w:rsid w:val="00F11CBF"/>
    <w:rsid w:val="00F80086"/>
    <w:rsid w:val="00FA47E1"/>
    <w:rsid w:val="00FC6368"/>
    <w:rsid w:val="00FD481C"/>
    <w:rsid w:val="00FD7CD5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A440"/>
  <w15:docId w15:val="{63C27972-FD34-4995-B967-6002D5D0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76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34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57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DAB1603DB9B4F828582133B0748F9" ma:contentTypeVersion="2" ma:contentTypeDescription="Utwórz nowy dokument." ma:contentTypeScope="" ma:versionID="8e5c087577610d4455b8db0d12ce3e0b">
  <xsd:schema xmlns:xsd="http://www.w3.org/2001/XMLSchema" xmlns:xs="http://www.w3.org/2001/XMLSchema" xmlns:p="http://schemas.microsoft.com/office/2006/metadata/properties" xmlns:ns2="b064a0ac-8953-4d7d-b546-6563a1bb17bb" targetNamespace="http://schemas.microsoft.com/office/2006/metadata/properties" ma:root="true" ma:fieldsID="d8ffad5a062a5b5e835b3609243f719e" ns2:_="">
    <xsd:import namespace="b064a0ac-8953-4d7d-b546-6563a1bb17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a0ac-8953-4d7d-b546-6563a1bb1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441FB-C948-43F6-9736-6B0BC0EBC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a0ac-8953-4d7d-b546-6563a1bb1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ACD30-1C8D-4FC7-B7F1-98DE8C4438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B33AB2-7EF6-4866-BDFA-CAEC2944F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66B11-0D36-40CE-85EA-F664FD0A96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Rybińska–Fliszkiewicz Joanna</cp:lastModifiedBy>
  <cp:revision>2</cp:revision>
  <dcterms:created xsi:type="dcterms:W3CDTF">2026-02-02T15:00:00Z</dcterms:created>
  <dcterms:modified xsi:type="dcterms:W3CDTF">2026-02-02T15:00:00Z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0x0101001A9DAB1603DB9B4F828582133B0748F9</vt:lpwstr>
  </property>
</Properties>
</file>