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59FB" w14:textId="77777777" w:rsidR="0083103B" w:rsidRDefault="005E7C40">
      <w:pPr>
        <w:pStyle w:val="TreA"/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Warszawa, 27.07.2023 r. </w:t>
      </w:r>
    </w:p>
    <w:p w14:paraId="649FC940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60F878A3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3738DDA2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</w:pPr>
    </w:p>
    <w:p w14:paraId="1B9B5038" w14:textId="184C773B" w:rsidR="0083103B" w:rsidRDefault="005E7C4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>ZMIANA ZASAD UBEZPIECZANIA PRACOWNIKÓW WYKONUJĄCYCH PRACĘ ZDALNĄ W KILKU PAŃSTWACH CZŁO</w:t>
      </w:r>
      <w:r w:rsidR="00335DDB"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>N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  <w:lang w:val="de-DE"/>
        </w:rPr>
        <w:t>KOWSKICH</w:t>
      </w:r>
    </w:p>
    <w:p w14:paraId="306128F2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" w:eastAsia="Arial" w:hAnsi="Arial" w:cs="Arial"/>
          <w:caps/>
          <w:color w:val="BE1E2D"/>
          <w:sz w:val="22"/>
          <w:szCs w:val="22"/>
          <w:u w:color="BE1E2D"/>
        </w:rPr>
      </w:pPr>
    </w:p>
    <w:p w14:paraId="1A6C9306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</w:p>
    <w:p w14:paraId="52510F1E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b/>
          <w:bCs/>
          <w:sz w:val="22"/>
          <w:szCs w:val="22"/>
          <w:lang w:val="pl-PL"/>
        </w:rPr>
        <w:t xml:space="preserve">Od 1 lipca Polskę obowiązuje międzyinstytucjonalne porozumienie ramowe określające zasady ustalania właściwego ustawodawstwa w przypadku transgranicznej pracy zdalnej. Zasady ustalania, gdzie ma być ubezpieczony pracownik wykonujący pracę zdalną w kilku państwach będą nieco łatwiejsze. </w:t>
      </w:r>
    </w:p>
    <w:p w14:paraId="0ABDC5BF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2D57EDAE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b/>
          <w:bCs/>
          <w:sz w:val="22"/>
          <w:szCs w:val="22"/>
          <w:lang w:val="pl-PL"/>
        </w:rPr>
        <w:t>Unia Europejska dostrzega problem</w:t>
      </w:r>
    </w:p>
    <w:p w14:paraId="2145F604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13FBCE13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Odkąd praca zdalna na dobre rozpowszechniła się jako jedna z elastycznych form aktywności zawodowej istnieje wiele wątpliwości związanych z tym, gdzie pracodawca ma odprowadzić składki na ubezpieczenie społeczne za pracowników wykonujących pracę zdalną transgranicznie.</w:t>
      </w:r>
    </w:p>
    <w:p w14:paraId="3E1D617B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Na gruncie instytucji UE opracowano porozumienie, które zostało już podpisane przez 18 państw członkowskich, w tym również przez Zakład Ubezpieczeń Społecznych. Nie rozwiązuje ono co prawda wszystkich problemów związanych z transgraniczną pracą zdalną, ale pomimo tego dla dużej grupy pracodawców stanowi duże ułatwienie w tym zakresie.</w:t>
      </w:r>
    </w:p>
    <w:p w14:paraId="08317677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C9A7158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b/>
          <w:bCs/>
          <w:sz w:val="22"/>
          <w:szCs w:val="22"/>
          <w:lang w:val="pl-PL"/>
        </w:rPr>
        <w:t>Transgraniczna praca zdalna  - co to oznacza?</w:t>
      </w:r>
    </w:p>
    <w:p w14:paraId="7BFB2D0F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DFC8E75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Porozumienie definiuje pojęcie transgranicznej pracy zdalnej. Dla celów Porozumienia praca zdalna transgraniczna rozumiana jest jako praca, która wykonywana jest z państwa zamieszkania pracownika (np. pracownik zamieszkuje we Francji i zatrudniany jest przez polską spółkę) przy zachowaniu połączenia cyfrowego ze środowiskiem swojego pracodawcy, którego siedziba znajduje się w państwie członkowskim innym niż państwo zamieszkania pracownika (np. w Polsce). Porozumienie dotyczy więc tylko takich sytuacji, gdy praca najemna mogłaby być wykonywana w siedzibie pracodawcy ale jest przez pracownika wykonywana zdalnie w innym państwie członkowskim lub państwach członkowskich.</w:t>
      </w:r>
    </w:p>
    <w:p w14:paraId="0CF22202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400F51D0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b/>
          <w:bCs/>
          <w:sz w:val="22"/>
          <w:szCs w:val="22"/>
          <w:lang w:val="pl-PL"/>
        </w:rPr>
        <w:t>Tradycyjne zasady bez zmian</w:t>
      </w:r>
    </w:p>
    <w:p w14:paraId="26C25D0C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09786FF4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Przypomnieć należy, że zgodnie z zasadami ogólnymi w przypadku wykonywania pracy najemnej w dwóch państwach członkowskich ustawodawstwem właściwym mającym zastosowanie wobec osoby ubezpieczonej jest zawsze ustawodawstwo kraju zamieszkania, o ile osoba ta wykonuje w tymże państwie znaczną część swojej pracy (art. 13 ust. 1 lit a) Rozporządzenia 8883/2004). Na potrzeby rozwiązań unijnych przyjmuje się, że znaczna część pracy oznacza taką pracę, która wykonywana jest w wymiarze nie mniejszym niż 25% całkowitego czasu pracy lub/i wynagrodzenia.</w:t>
      </w:r>
    </w:p>
    <w:p w14:paraId="6C6B87E7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7449A5D2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i/>
          <w:iCs/>
          <w:sz w:val="22"/>
          <w:szCs w:val="22"/>
          <w:lang w:val="pl-PL"/>
        </w:rPr>
      </w:pPr>
    </w:p>
    <w:p w14:paraId="082BF265" w14:textId="4886DF03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i/>
          <w:iCs/>
          <w:sz w:val="22"/>
          <w:szCs w:val="22"/>
          <w:lang w:val="pl-PL"/>
        </w:rPr>
        <w:lastRenderedPageBreak/>
        <w:t>Wobec powyższego regułą jest, że jeśli pracownik wykonuje pracę najemną w co najmniej dwóch państwach członkowskich i jednocześnie w państwie zamieszkania wykonuje pracę w wymiarze co najmniej 25% całkowitego czasu pracy lub/i wynagrodzenia, to wówczas podlega pod system zabezpieczenia społecznego kraju zamieszkania.</w:t>
      </w:r>
      <w:r w:rsidR="00335DDB">
        <w:rPr>
          <w:rFonts w:ascii="Arial" w:hAnsi="Arial"/>
          <w:i/>
          <w:iCs/>
          <w:sz w:val="22"/>
          <w:szCs w:val="22"/>
          <w:lang w:val="pl-PL"/>
        </w:rPr>
        <w:t xml:space="preserve"> </w:t>
      </w:r>
      <w:r w:rsidRPr="00335DDB">
        <w:rPr>
          <w:rFonts w:ascii="Arial" w:hAnsi="Arial"/>
          <w:i/>
          <w:iCs/>
          <w:sz w:val="22"/>
          <w:szCs w:val="22"/>
          <w:lang w:val="pl-PL"/>
        </w:rPr>
        <w:t>Przykład: Pracownik pracuje w Polsce oraz w Niemczech, a zamieszkuje w Niemczech. Pracodawca ma siedzibę w Polsce. Na Polskę przypada 70% aktywności zawodowej pracownika, a na Niemcy przypada 30% aktywności zawodowej. W takim przypadku pracownik będzie ubezpieczony w Niemczech</w:t>
      </w:r>
      <w:r>
        <w:rPr>
          <w:rFonts w:ascii="Arial" w:hAnsi="Arial"/>
          <w:i/>
          <w:iCs/>
          <w:sz w:val="22"/>
          <w:szCs w:val="22"/>
          <w:lang w:val="pl-PL"/>
        </w:rPr>
        <w:t xml:space="preserve">, </w:t>
      </w:r>
      <w:r w:rsidRPr="00335DDB">
        <w:rPr>
          <w:rFonts w:ascii="Arial" w:hAnsi="Arial"/>
          <w:i/>
          <w:iCs/>
          <w:sz w:val="22"/>
          <w:szCs w:val="22"/>
          <w:lang w:val="pl-PL"/>
        </w:rPr>
        <w:t xml:space="preserve">tj. w miejscu swojego zamieszkania. - zauważa </w:t>
      </w:r>
      <w:r w:rsidRPr="00335DDB">
        <w:rPr>
          <w:rFonts w:ascii="Arial" w:hAnsi="Arial"/>
          <w:b/>
          <w:bCs/>
          <w:sz w:val="22"/>
          <w:szCs w:val="22"/>
          <w:lang w:val="pl-PL"/>
        </w:rPr>
        <w:t>Joanna Torbe - ekspertka BCC ds. prawa pracy i ubezpieczeń społecznych.</w:t>
      </w:r>
    </w:p>
    <w:p w14:paraId="18FECFC1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0274E866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b/>
          <w:bCs/>
          <w:sz w:val="22"/>
          <w:szCs w:val="22"/>
          <w:lang w:val="pl-PL"/>
        </w:rPr>
        <w:t>Pracownicy zdalni będą ubezpieczeni tam gdzie ich pracodawca</w:t>
      </w:r>
    </w:p>
    <w:p w14:paraId="5A0436E4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EBABE9D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 xml:space="preserve">Przyjęte Porozumienie przewiduje możliwość stosowania wyjątku względem zasady przywołanej powyżej. Przewiduje ono, że jeśli pracownik wykonuje pracę  w państwie zamieszkania w formie transgranicznej pracy zdalnej w wymiarze co najmniej 25%, jednakże nie więcej niż 50% całkowitego czasu pracy, to podlega pod system zabezpieczenia społecznego tego państwa członkowskiego, w którym znajduje się siedziba jego pracodawcy. Ustawodawstwem właściwym mającym zastosowanie w stosunku do osoby ubezpieczonej jest ustawodawstwo tego państwa członkowskiego, w którym znajduje się siedziba jej pracodawcy. </w:t>
      </w:r>
    </w:p>
    <w:p w14:paraId="0D2F9290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Przykład: Pracownik pracuje  w Niemczech w ramach pracy zdalnej i mieszka w Niemczech, ale zatrudniony jest przez polskiego pracodawcę.  Na Niemcy przypada 40% jego aktywności zawodowej pracownika, a 60% na Polskę. W takim przypadku pracownik nie będzie ubezpieczony w Niemczech (tj. w miejscu swojego zamieszkania) ale w Polsce (według siedziby pracodawcy).</w:t>
      </w:r>
    </w:p>
    <w:p w14:paraId="751645CC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728098BE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Porozumienie umożliwia zatem ustalenie ustawodawstwa właściwego państwa siedziby pracodawcy, pomimo wykonywania w państwie zamieszkania znacznej części pracy.</w:t>
      </w:r>
    </w:p>
    <w:p w14:paraId="4A70B81E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615443EB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Osoba ubezpieczona będzie mogła zostać objęta zakresem Porozumienia tylko wtedy, gdy miejsce jej zamieszkania będzie znajdować się w państwie członkowskim, które pozostaje sygnatariuszem Porozumienia. Jednocześnie również siedziba pracodawcy/ów osoby ubezpieczonej będzie musiała znajdować się na terytorium któregoś z pozostałych państw członkowskich, które przystąpiły do Porozumienia. Do Porozumienia przystąpiły m.in. Niemcy, Francja, Holandia, Belgia, Hiszpania.</w:t>
      </w:r>
    </w:p>
    <w:p w14:paraId="78BE7339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3D573E47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Porozumienie nie znajdzie zastosowania do wskazanych kategorii osób:</w:t>
      </w:r>
    </w:p>
    <w:p w14:paraId="56FD0B46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podejmujących w państwie zamieszkania aktywność zawodową inną niż zdalna praca transgraniczna (np. jednocześnie pracujących stacjonarnie w kraju zamieszkania),</w:t>
      </w:r>
    </w:p>
    <w:p w14:paraId="44A66255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normalnie wykonujących pracę najemną w państwie członkowskim innym niż państwo zamieszkania i państwo siedziby pracodawcy (czyli gdy w obszar aktywności zawodowej ubezpieczonego zaangażowane jest również inne, trzecie i kolejne państwo członkowskie),</w:t>
      </w:r>
    </w:p>
    <w:p w14:paraId="3E1731EB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>wykonujących pracę na własny rachunek.</w:t>
      </w:r>
    </w:p>
    <w:p w14:paraId="1AE2D273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0AB04399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335DDB">
        <w:rPr>
          <w:rFonts w:ascii="Arial" w:hAnsi="Arial"/>
          <w:b/>
          <w:bCs/>
          <w:sz w:val="22"/>
          <w:szCs w:val="22"/>
          <w:lang w:val="pl-PL"/>
        </w:rPr>
        <w:t>Bez automatu</w:t>
      </w:r>
    </w:p>
    <w:p w14:paraId="271DF271" w14:textId="77777777" w:rsidR="0083103B" w:rsidRPr="00335DDB" w:rsidRDefault="008310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</w:p>
    <w:p w14:paraId="42EA92D2" w14:textId="77777777" w:rsidR="0083103B" w:rsidRPr="00335DDB" w:rsidRDefault="005E7C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</w:rPr>
      </w:pPr>
      <w:r w:rsidRPr="00335DDB">
        <w:rPr>
          <w:rFonts w:ascii="Arial" w:hAnsi="Arial"/>
          <w:sz w:val="22"/>
          <w:szCs w:val="22"/>
          <w:lang w:val="pl-PL"/>
        </w:rPr>
        <w:t xml:space="preserve">Możliwość zastosowania rozwiązania przewidzianego w postanowieniach Porozumienia jest uzależniona od złożenia stosownego wniosku przez uprawnioną osobę. Osoby zainteresowane, wykonujące telepracę na terenie Polski w związku z zatrudnieniem u zagranicznych pracodawców, mogą wystąpić, o objecie ich zapisami porozumienia - do </w:t>
      </w:r>
      <w:r w:rsidRPr="00335DDB">
        <w:rPr>
          <w:rFonts w:ascii="Arial" w:hAnsi="Arial"/>
          <w:sz w:val="22"/>
          <w:szCs w:val="22"/>
          <w:lang w:val="pl-PL"/>
        </w:rPr>
        <w:lastRenderedPageBreak/>
        <w:t>instytucji zabezpieczenia społecznego w państwie siedziby pracodawcy (o ile to państwo przystąpiło do porozumienia). Z wnioskiem do instytucji zagranicznej może wystąpić również zagraniczny pracodawca. I odwrotnie ubezpieczeni zatrudnieni u polskich pracodawców bądź sami polscy pracodawcy, będą musieli wystąpić do Zakładu Ubezpieczeń Społecznych z wnioskiem US-36. Wniosek można złożyć za pośrednictwem platformy PUE ZUS lub w formie pisemnej. Po uzyskaniu pozytywnej informacji zwrotnej z ZUS Oddział w Kielcach ubezpieczony lub jego pracodawca powinien wystąpić do właściwego oddziału ZUS z wnioskiem o wydanie zaświadczenia A1.</w:t>
      </w:r>
    </w:p>
    <w:p w14:paraId="3C0F5DDA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34904CB0" w14:textId="77777777" w:rsidR="0083103B" w:rsidRDefault="0083103B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</w:rPr>
      </w:pPr>
    </w:p>
    <w:p w14:paraId="1EDAC346" w14:textId="77777777" w:rsidR="0083103B" w:rsidRDefault="005E7C4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  <w:shd w:val="clear" w:color="auto" w:fill="FFFFFF"/>
        </w:rPr>
      </w:pPr>
      <w:r>
        <w:rPr>
          <w:rFonts w:ascii="Arial" w:hAnsi="Arial"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Fonts w:ascii="Arial" w:hAnsi="Arial"/>
          <w:sz w:val="18"/>
          <w:szCs w:val="18"/>
          <w:shd w:val="clear" w:color="auto" w:fill="FFFFFF"/>
        </w:rPr>
        <w:t>medi</w:t>
      </w:r>
      <w:proofErr w:type="spellEnd"/>
      <w:r>
        <w:rPr>
          <w:rFonts w:ascii="Arial" w:hAnsi="Arial"/>
          <w:sz w:val="18"/>
          <w:szCs w:val="18"/>
          <w:shd w:val="clear" w:color="auto" w:fill="FFFFFF"/>
          <w:lang w:val="es-ES_tradnl"/>
        </w:rPr>
        <w:t>ó</w:t>
      </w:r>
      <w:r>
        <w:rPr>
          <w:rFonts w:ascii="Arial" w:hAnsi="Arial"/>
          <w:sz w:val="18"/>
          <w:szCs w:val="18"/>
          <w:shd w:val="clear" w:color="auto" w:fill="FFFFFF"/>
        </w:rPr>
        <w:t>w:</w:t>
      </w:r>
    </w:p>
    <w:p w14:paraId="498204E8" w14:textId="77777777" w:rsidR="0083103B" w:rsidRDefault="005E7C40">
      <w:pPr>
        <w:pStyle w:val="DomylneA"/>
        <w:numPr>
          <w:ilvl w:val="0"/>
          <w:numId w:val="2"/>
        </w:numPr>
        <w:spacing w:before="0" w:line="264" w:lineRule="auto"/>
        <w:rPr>
          <w:rFonts w:ascii="Arial" w:hAnsi="Arial"/>
          <w:sz w:val="18"/>
          <w:szCs w:val="18"/>
          <w:lang w:val="en-US"/>
        </w:rPr>
      </w:pPr>
      <w:proofErr w:type="spellStart"/>
      <w:r>
        <w:rPr>
          <w:rFonts w:ascii="Arial" w:hAnsi="Arial"/>
          <w:sz w:val="18"/>
          <w:szCs w:val="18"/>
          <w:shd w:val="clear" w:color="auto" w:fill="FFFFFF"/>
          <w:lang w:val="en-US"/>
        </w:rPr>
        <w:t>Agencja</w:t>
      </w:r>
      <w:proofErr w:type="spellEnd"/>
      <w:r>
        <w:rPr>
          <w:rFonts w:ascii="Arial" w:hAnsi="Arial"/>
          <w:sz w:val="18"/>
          <w:szCs w:val="18"/>
          <w:shd w:val="clear" w:color="auto" w:fill="FFFFFF"/>
          <w:lang w:val="en-US"/>
        </w:rPr>
        <w:t xml:space="preserve"> Open Minded Group </w:t>
      </w:r>
      <w:hyperlink r:id="rId8" w:history="1">
        <w:r>
          <w:rPr>
            <w:rStyle w:val="Hyperlink0"/>
            <w:rFonts w:ascii="Arial" w:hAnsi="Arial"/>
            <w:sz w:val="18"/>
            <w:szCs w:val="18"/>
          </w:rPr>
          <w:t>pr@openmindedgroup.pl</w:t>
        </w:r>
      </w:hyperlink>
    </w:p>
    <w:p w14:paraId="1C032621" w14:textId="77777777" w:rsidR="0083103B" w:rsidRDefault="005E7C40">
      <w:pPr>
        <w:pStyle w:val="DomylneA"/>
        <w:numPr>
          <w:ilvl w:val="0"/>
          <w:numId w:val="2"/>
        </w:numPr>
        <w:spacing w:before="0" w:line="264" w:lineRule="auto"/>
        <w:rPr>
          <w:rFonts w:ascii="Arial" w:hAnsi="Arial"/>
          <w:sz w:val="18"/>
          <w:szCs w:val="18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Business Centre Club: Renata Stefanowska </w:t>
      </w:r>
      <w:hyperlink r:id="rId9" w:history="1">
        <w:r>
          <w:rPr>
            <w:rStyle w:val="Hyperlink1"/>
            <w:rFonts w:ascii="Arial" w:hAnsi="Arial"/>
            <w:sz w:val="18"/>
            <w:szCs w:val="18"/>
          </w:rPr>
          <w:t>renata.stefanowska@bcc.pl</w:t>
        </w:r>
      </w:hyperlink>
      <w:r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  <w:lang w:val="en-US"/>
        </w:rPr>
        <w:t xml:space="preserve"> </w:t>
      </w:r>
    </w:p>
    <w:p w14:paraId="134EAF42" w14:textId="77777777" w:rsidR="003F5DD1" w:rsidRDefault="003F5DD1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</w:pPr>
    </w:p>
    <w:p w14:paraId="2256DF67" w14:textId="3720A3C6" w:rsidR="005E7C40" w:rsidRDefault="005E7C40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</w:rPr>
      </w:pPr>
      <w:r w:rsidRPr="00335DDB"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>Kontakt od eksperta:</w:t>
      </w:r>
      <w:r w:rsidRPr="00335DDB"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</w:rPr>
        <w:t xml:space="preserve"> </w:t>
      </w:r>
    </w:p>
    <w:p w14:paraId="3FDA7E67" w14:textId="32A1BA81" w:rsidR="0083103B" w:rsidRPr="005E7C40" w:rsidRDefault="005E7C40" w:rsidP="00335DDB">
      <w:pPr>
        <w:pStyle w:val="DomylneA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18"/>
          <w:szCs w:val="18"/>
        </w:rPr>
      </w:pPr>
      <w:r w:rsidRPr="005E7C40"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</w:rPr>
        <w:t xml:space="preserve">Joanna </w:t>
      </w:r>
      <w:proofErr w:type="spellStart"/>
      <w:r w:rsidRPr="00335DDB"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</w:rPr>
        <w:t>Torb</w:t>
      </w:r>
      <w:r w:rsidRPr="00335DDB">
        <w:rPr>
          <w:rStyle w:val="Brak"/>
          <w:rFonts w:ascii="Arial" w:hAnsi="Arial" w:cs="Arial"/>
          <w:color w:val="AA3034"/>
          <w:sz w:val="18"/>
          <w:szCs w:val="18"/>
          <w:u w:color="AA3034"/>
          <w:shd w:val="clear" w:color="auto" w:fill="FFFFFF"/>
        </w:rPr>
        <w:t>é-Jacko</w:t>
      </w:r>
      <w:proofErr w:type="spellEnd"/>
      <w:r w:rsidRPr="00335DDB">
        <w:rPr>
          <w:rStyle w:val="Brak"/>
          <w:rFonts w:ascii="Arial" w:hAnsi="Arial" w:cs="Arial"/>
          <w:color w:val="AA3034"/>
          <w:sz w:val="18"/>
          <w:szCs w:val="18"/>
          <w:u w:color="AA3034"/>
          <w:shd w:val="clear" w:color="auto" w:fill="FFFFFF"/>
        </w:rPr>
        <w:t>, ekspertka BCC ds. prawa pracy i ubezpieczeń społecznych</w:t>
      </w:r>
      <w:r>
        <w:rPr>
          <w:rStyle w:val="Brak"/>
          <w:rFonts w:ascii="Arial" w:hAnsi="Arial" w:cs="Arial"/>
          <w:color w:val="AA3034"/>
          <w:sz w:val="18"/>
          <w:szCs w:val="18"/>
          <w:u w:color="AA3034"/>
          <w:shd w:val="clear" w:color="auto" w:fill="FFFFFF"/>
        </w:rPr>
        <w:t xml:space="preserve">: </w:t>
      </w:r>
      <w:r w:rsidRPr="00335DDB">
        <w:rPr>
          <w:rStyle w:val="Brak"/>
          <w:rFonts w:ascii="Arial" w:hAnsi="Arial"/>
          <w:color w:val="AA3034"/>
          <w:sz w:val="18"/>
          <w:szCs w:val="18"/>
          <w:u w:color="AA3034"/>
          <w:shd w:val="clear" w:color="auto" w:fill="FFFFFF"/>
        </w:rPr>
        <w:t xml:space="preserve"> </w:t>
      </w:r>
      <w:hyperlink r:id="rId10" w:history="1">
        <w:r w:rsidRPr="00335DDB">
          <w:rPr>
            <w:rStyle w:val="Hipercze"/>
          </w:rPr>
          <w:t>joanna.torbe@bcc.org.pl</w:t>
        </w:r>
      </w:hyperlink>
    </w:p>
    <w:p w14:paraId="3C301B05" w14:textId="77777777" w:rsidR="0083103B" w:rsidRPr="005E7C40" w:rsidRDefault="0083103B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22"/>
          <w:szCs w:val="22"/>
        </w:rPr>
      </w:pPr>
    </w:p>
    <w:p w14:paraId="1C897459" w14:textId="77777777" w:rsidR="0083103B" w:rsidRPr="00335DDB" w:rsidRDefault="0083103B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22"/>
          <w:szCs w:val="22"/>
          <w:shd w:val="clear" w:color="auto" w:fill="000000"/>
        </w:rPr>
      </w:pPr>
    </w:p>
    <w:p w14:paraId="60413287" w14:textId="77777777" w:rsidR="0083103B" w:rsidRPr="00335DDB" w:rsidRDefault="0083103B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22"/>
          <w:szCs w:val="22"/>
        </w:rPr>
      </w:pPr>
    </w:p>
    <w:p w14:paraId="403C47B9" w14:textId="77777777" w:rsidR="0083103B" w:rsidRPr="005E7C40" w:rsidRDefault="005E7C40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rPr>
          <w:rFonts w:ascii="Arial" w:eastAsia="Arial" w:hAnsi="Arial" w:cs="Arial"/>
          <w:sz w:val="22"/>
          <w:szCs w:val="22"/>
        </w:rPr>
      </w:pPr>
      <w:r w:rsidRPr="00335DDB">
        <w:rPr>
          <w:rStyle w:val="Brak"/>
          <w:rFonts w:ascii="Arial" w:hAnsi="Arial"/>
          <w:sz w:val="22"/>
          <w:szCs w:val="22"/>
        </w:rPr>
        <w:t xml:space="preserve"> </w:t>
      </w:r>
    </w:p>
    <w:p w14:paraId="63986683" w14:textId="77777777" w:rsidR="0083103B" w:rsidRPr="005E7C40" w:rsidRDefault="005E7C40">
      <w:pPr>
        <w:pStyle w:val="TreA"/>
        <w:pBdr>
          <w:top w:val="single" w:sz="4" w:space="0" w:color="000000"/>
        </w:pBd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120EFB32" wp14:editId="63C75E8A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8A1956A" w14:textId="77777777" w:rsidR="0083103B" w:rsidRDefault="005E7C40">
      <w:pPr>
        <w:pStyle w:val="TreA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Business Centre Club to największa w kraju ustawowa organizacja indywidualnych </w:t>
      </w:r>
      <w:proofErr w:type="spellStart"/>
      <w:r>
        <w:rPr>
          <w:rFonts w:ascii="Arial" w:hAnsi="Arial"/>
          <w:sz w:val="22"/>
          <w:szCs w:val="22"/>
        </w:rPr>
        <w:t>pracodawc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w. Członkowie Klubu zatrudniają ponad 400 tys. pracownik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>w, przychody firm to ponad 200 miliard</w:t>
      </w:r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22"/>
          <w:szCs w:val="22"/>
        </w:rPr>
        <w:t>przedsiębiorc</w:t>
      </w:r>
      <w:proofErr w:type="spellEnd"/>
      <w:r>
        <w:rPr>
          <w:rStyle w:val="Brak"/>
          <w:rFonts w:ascii="Arial" w:hAnsi="Arial"/>
          <w:sz w:val="22"/>
          <w:szCs w:val="22"/>
          <w:lang w:val="es-ES_tradnl"/>
        </w:rPr>
        <w:t>ó</w:t>
      </w:r>
      <w:r>
        <w:rPr>
          <w:rFonts w:ascii="Arial" w:hAnsi="Arial"/>
          <w:sz w:val="22"/>
          <w:szCs w:val="22"/>
        </w:rPr>
        <w:t xml:space="preserve">w są także prawnicy, dziennikarze, naukowcy, wydawcy, lekarze, wojskowi i studenci. </w:t>
      </w:r>
    </w:p>
    <w:p w14:paraId="19EDFDF1" w14:textId="77777777" w:rsidR="0083103B" w:rsidRDefault="0083103B">
      <w:pPr>
        <w:pStyle w:val="TreA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A33D8BF" w14:textId="77777777" w:rsidR="0083103B" w:rsidRDefault="005E7C40">
      <w:pPr>
        <w:pStyle w:val="TreA"/>
        <w:spacing w:line="276" w:lineRule="auto"/>
      </w:pPr>
      <w:r>
        <w:rPr>
          <w:rFonts w:ascii="Arial" w:hAnsi="Arial"/>
          <w:sz w:val="22"/>
          <w:szCs w:val="22"/>
        </w:rPr>
        <w:t xml:space="preserve">Business Centre Club w mediach </w:t>
      </w:r>
      <w:proofErr w:type="spellStart"/>
      <w:r>
        <w:rPr>
          <w:rFonts w:ascii="Arial" w:hAnsi="Arial"/>
          <w:sz w:val="22"/>
          <w:szCs w:val="22"/>
        </w:rPr>
        <w:t>spo</w:t>
      </w:r>
      <w:proofErr w:type="spellEnd"/>
      <w:r>
        <w:rPr>
          <w:rStyle w:val="Brak"/>
          <w:rFonts w:ascii="Arial" w:hAnsi="Arial"/>
          <w:sz w:val="22"/>
          <w:szCs w:val="22"/>
          <w:lang w:val="en-US"/>
        </w:rPr>
        <w:t>ł</w:t>
      </w:r>
      <w:proofErr w:type="spellStart"/>
      <w:r>
        <w:rPr>
          <w:rFonts w:ascii="Arial" w:hAnsi="Arial"/>
          <w:sz w:val="22"/>
          <w:szCs w:val="22"/>
        </w:rPr>
        <w:t>eczno</w:t>
      </w:r>
      <w:proofErr w:type="spellEnd"/>
      <w:r>
        <w:rPr>
          <w:rStyle w:val="Brak"/>
          <w:rFonts w:ascii="Arial" w:hAnsi="Arial"/>
          <w:sz w:val="22"/>
          <w:szCs w:val="22"/>
          <w:lang w:val="en-US"/>
        </w:rPr>
        <w:t>ś</w:t>
      </w:r>
      <w:proofErr w:type="spellStart"/>
      <w:r>
        <w:rPr>
          <w:rFonts w:ascii="Arial" w:hAnsi="Arial"/>
          <w:sz w:val="22"/>
          <w:szCs w:val="22"/>
        </w:rPr>
        <w:t>ciowych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hyperlink r:id="rId12" w:history="1">
        <w:r>
          <w:rPr>
            <w:rStyle w:val="Hyperlink3"/>
            <w:rFonts w:ascii="Arial" w:hAnsi="Arial"/>
            <w:sz w:val="22"/>
            <w:szCs w:val="22"/>
          </w:rPr>
          <w:t>LinkedIn &gt;</w:t>
        </w:r>
      </w:hyperlink>
      <w:r>
        <w:rPr>
          <w:rFonts w:ascii="Arial" w:hAnsi="Arial"/>
          <w:sz w:val="22"/>
          <w:szCs w:val="22"/>
        </w:rPr>
        <w:t xml:space="preserve"> </w:t>
      </w:r>
      <w:hyperlink r:id="rId13" w:history="1">
        <w:r>
          <w:rPr>
            <w:rStyle w:val="Hyperlink3"/>
            <w:rFonts w:ascii="Arial" w:hAnsi="Arial"/>
            <w:sz w:val="22"/>
            <w:szCs w:val="22"/>
          </w:rPr>
          <w:t>Facebook &gt;</w:t>
        </w:r>
      </w:hyperlink>
      <w:r>
        <w:rPr>
          <w:rFonts w:ascii="Arial" w:hAnsi="Arial"/>
          <w:sz w:val="22"/>
          <w:szCs w:val="22"/>
        </w:rPr>
        <w:t xml:space="preserve"> </w:t>
      </w:r>
      <w:hyperlink r:id="rId14" w:history="1">
        <w:r>
          <w:rPr>
            <w:rStyle w:val="Hyperlink4"/>
            <w:rFonts w:ascii="Arial" w:hAnsi="Arial"/>
            <w:sz w:val="22"/>
            <w:szCs w:val="22"/>
          </w:rPr>
          <w:t>Twitter &gt;</w:t>
        </w:r>
      </w:hyperlink>
    </w:p>
    <w:sectPr w:rsidR="0083103B" w:rsidSect="00335DDB">
      <w:headerReference w:type="default" r:id="rId15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194B" w14:textId="77777777" w:rsidR="003276D0" w:rsidRDefault="003276D0">
      <w:r>
        <w:separator/>
      </w:r>
    </w:p>
  </w:endnote>
  <w:endnote w:type="continuationSeparator" w:id="0">
    <w:p w14:paraId="559903D3" w14:textId="77777777" w:rsidR="003276D0" w:rsidRDefault="0032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753B" w14:textId="77777777" w:rsidR="003276D0" w:rsidRDefault="003276D0">
      <w:r>
        <w:separator/>
      </w:r>
    </w:p>
  </w:footnote>
  <w:footnote w:type="continuationSeparator" w:id="0">
    <w:p w14:paraId="49B58498" w14:textId="77777777" w:rsidR="003276D0" w:rsidRDefault="0032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1B87" w14:textId="77777777" w:rsidR="0083103B" w:rsidRDefault="005E7C40">
    <w:pPr>
      <w:pStyle w:val="NagwekistopkaA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F40BA1" wp14:editId="6A6EFC3F">
          <wp:simplePos x="0" y="0"/>
          <wp:positionH relativeFrom="page">
            <wp:posOffset>2659380</wp:posOffset>
          </wp:positionH>
          <wp:positionV relativeFrom="page">
            <wp:posOffset>509270</wp:posOffset>
          </wp:positionV>
          <wp:extent cx="1933286" cy="705600"/>
          <wp:effectExtent l="0" t="0" r="0" b="0"/>
          <wp:wrapNone/>
          <wp:docPr id="2061063498" name="Obraz 2061063498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7916"/>
    <w:multiLevelType w:val="hybridMultilevel"/>
    <w:tmpl w:val="7520BFB0"/>
    <w:numStyleLink w:val="Zaimportowanystyl1"/>
  </w:abstractNum>
  <w:abstractNum w:abstractNumId="1" w15:restartNumberingAfterBreak="0">
    <w:nsid w:val="76433AFD"/>
    <w:multiLevelType w:val="hybridMultilevel"/>
    <w:tmpl w:val="7520BFB0"/>
    <w:styleLink w:val="Zaimportowanystyl1"/>
    <w:lvl w:ilvl="0" w:tplc="6DA82FC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F47FB2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48BDC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42AB0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653A6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223354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C47C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16BE56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21DD0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AE43EE3"/>
    <w:multiLevelType w:val="hybridMultilevel"/>
    <w:tmpl w:val="846A5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971680">
    <w:abstractNumId w:val="1"/>
  </w:num>
  <w:num w:numId="2" w16cid:durableId="156923377">
    <w:abstractNumId w:val="0"/>
  </w:num>
  <w:num w:numId="3" w16cid:durableId="483858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3B"/>
    <w:rsid w:val="003276D0"/>
    <w:rsid w:val="00335DDB"/>
    <w:rsid w:val="003F5DD1"/>
    <w:rsid w:val="005E7C40"/>
    <w:rsid w:val="0083103B"/>
    <w:rsid w:val="00A110F8"/>
    <w:rsid w:val="00C7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F7590"/>
  <w15:docId w15:val="{56694702-73EA-41D3-8F4E-3E1E6A1F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AA3034"/>
      <w:u w:val="single" w:color="AA3034"/>
      <w:lang w:val="de-DE"/>
    </w:rPr>
  </w:style>
  <w:style w:type="character" w:customStyle="1" w:styleId="Hyperlink1">
    <w:name w:val="Hyperlink.1"/>
    <w:basedOn w:val="Brak"/>
    <w:rPr>
      <w:outline w:val="0"/>
      <w:color w:val="AA3034"/>
      <w:u w:val="single" w:color="AA3034"/>
      <w:lang w:val="en-US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outline w:val="0"/>
      <w:color w:val="AE2F36"/>
      <w:u w:val="none" w:color="0000FF"/>
    </w:rPr>
  </w:style>
  <w:style w:type="character" w:customStyle="1" w:styleId="Hyperlink3">
    <w:name w:val="Hyperlink.3"/>
    <w:basedOn w:val="Brak"/>
    <w:rPr>
      <w:u w:val="single"/>
      <w:lang w:val="nl-NL"/>
    </w:rPr>
  </w:style>
  <w:style w:type="character" w:customStyle="1" w:styleId="Hyperlink4">
    <w:name w:val="Hyperlink.4"/>
    <w:basedOn w:val="Brak"/>
    <w:rPr>
      <w:u w:val="single"/>
      <w:lang w:val="en-US"/>
    </w:rPr>
  </w:style>
  <w:style w:type="paragraph" w:styleId="Poprawka">
    <w:name w:val="Revision"/>
    <w:hidden/>
    <w:uiPriority w:val="99"/>
    <w:semiHidden/>
    <w:rsid w:val="00C71D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C71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DE8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C71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E8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facebook.com/businesscentreclu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oanna.torbe@bcc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yperlink" Target="http://www.twitter.com/BCC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EEB6-FAA4-4B1C-8B48-83E59F40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2023-07-31T08:11:00Z</dcterms:created>
  <dcterms:modified xsi:type="dcterms:W3CDTF">2023-07-31T08:11:00Z</dcterms:modified>
</cp:coreProperties>
</file>