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C0FD" w14:textId="77777777" w:rsidR="00EB5C65" w:rsidRDefault="0018340B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DE998AA" wp14:editId="2592726C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AECDC4" w14:textId="77777777" w:rsidR="00EB5C65" w:rsidRDefault="0018340B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23.05.2023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998A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446.75pt;margin-top:7.55pt;width:124.55pt;height:61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73AECDC4" w14:textId="77777777" w:rsidR="00EB5C65" w:rsidRDefault="0018340B">
                      <w:pPr>
                        <w:pStyle w:val="Tre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   Warszawa, 23.05.2023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u w:val="single"/>
        </w:rPr>
        <w:drawing>
          <wp:anchor distT="152400" distB="152400" distL="152400" distR="152400" simplePos="0" relativeHeight="251660288" behindDoc="0" locked="0" layoutInCell="1" allowOverlap="1" wp14:anchorId="7E3C69B4" wp14:editId="6EB021BD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CC8CBD" w14:textId="77777777" w:rsidR="00EB5C65" w:rsidRDefault="00EB5C65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34F14160" w14:textId="77777777" w:rsidR="00EB5C65" w:rsidRDefault="00EB5C65" w:rsidP="00563E72">
      <w:pPr>
        <w:pStyle w:val="TreA"/>
        <w:spacing w:line="288" w:lineRule="auto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2665D093" w14:textId="77777777" w:rsidR="00EB5C65" w:rsidRDefault="0018340B">
      <w:pPr>
        <w:pStyle w:val="TreB"/>
        <w:spacing w:line="33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Koniunktura polskiej gospodarki w maju 2023   </w:t>
      </w:r>
    </w:p>
    <w:p w14:paraId="2AFF62EF" w14:textId="77777777" w:rsidR="00EB5C65" w:rsidRDefault="0018340B">
      <w:pPr>
        <w:pStyle w:val="TreB"/>
        <w:spacing w:line="33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komentarz ekspert</w:t>
      </w:r>
      <w:r>
        <w:rPr>
          <w:sz w:val="26"/>
          <w:szCs w:val="26"/>
          <w:u w:val="single"/>
          <w:lang w:val="es-ES_tradnl"/>
        </w:rPr>
        <w:t>ó</w:t>
      </w:r>
      <w:r w:rsidRPr="0018340B">
        <w:rPr>
          <w:sz w:val="26"/>
          <w:szCs w:val="26"/>
          <w:u w:val="single"/>
        </w:rPr>
        <w:t>w Business Centre Club</w:t>
      </w:r>
    </w:p>
    <w:p w14:paraId="228321E6" w14:textId="77777777" w:rsidR="00EB5C65" w:rsidRDefault="00EB5C65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1BB83B70" w14:textId="208D2D2A" w:rsidR="00EB5C65" w:rsidRDefault="0018340B" w:rsidP="00563E72">
      <w:pPr>
        <w:pStyle w:val="TreB"/>
        <w:spacing w:line="336" w:lineRule="auto"/>
        <w:rPr>
          <w:rStyle w:val="BrakA"/>
        </w:rPr>
      </w:pPr>
      <w:r>
        <w:rPr>
          <w:lang w:val="de-DE"/>
        </w:rPr>
        <w:t>W</w:t>
      </w:r>
      <w:r>
        <w:rPr>
          <w:rStyle w:val="BrakA"/>
        </w:rPr>
        <w:t xml:space="preserve">edług danych </w:t>
      </w:r>
      <w:r w:rsidR="00563E72">
        <w:rPr>
          <w:rStyle w:val="BrakA"/>
        </w:rPr>
        <w:t>Głównego</w:t>
      </w:r>
      <w:r>
        <w:rPr>
          <w:rStyle w:val="BrakA"/>
        </w:rPr>
        <w:t xml:space="preserve"> Urzędu Statystycznego (GUS) w maju br. wskaź</w:t>
      </w:r>
      <w:r>
        <w:rPr>
          <w:lang w:val="da-DK"/>
        </w:rPr>
        <w:t>nik og</w:t>
      </w:r>
      <w:r>
        <w:rPr>
          <w:lang w:val="es-ES_tradnl"/>
        </w:rPr>
        <w:t>ó</w:t>
      </w:r>
      <w:r>
        <w:rPr>
          <w:rStyle w:val="BrakA"/>
        </w:rPr>
        <w:t xml:space="preserve">lnego klimatu koniunktury kształtuje się na poziomie zbliżonym do prezentowanego w kwietniu. We wszystkich obszarach, poza handlem detalicznym, wskaźnik znajduje się </w:t>
      </w:r>
      <w:r>
        <w:rPr>
          <w:lang w:val="it-IT"/>
        </w:rPr>
        <w:t>poni</w:t>
      </w:r>
      <w:r>
        <w:rPr>
          <w:rStyle w:val="BrakA"/>
        </w:rPr>
        <w:t>żej średniej długookresowej. Najbardziej pesymistyczne oceny formułują podmioty z sektora przetw</w:t>
      </w:r>
      <w:r>
        <w:rPr>
          <w:lang w:val="es-ES_tradnl"/>
        </w:rPr>
        <w:t>ó</w:t>
      </w:r>
      <w:r>
        <w:rPr>
          <w:rStyle w:val="BrakA"/>
        </w:rPr>
        <w:t>rstwa przemysłowego oraz budownictwa. Dane GUS komentują eksperci BCC.</w:t>
      </w:r>
    </w:p>
    <w:p w14:paraId="05CD0B16" w14:textId="77777777" w:rsidR="00EB5C65" w:rsidRDefault="00EB5C65" w:rsidP="00563E72">
      <w:pPr>
        <w:pStyle w:val="TreB"/>
        <w:spacing w:line="336" w:lineRule="auto"/>
        <w:rPr>
          <w:rStyle w:val="BrakA"/>
        </w:rPr>
      </w:pPr>
    </w:p>
    <w:p w14:paraId="262F04D7" w14:textId="744C1D21" w:rsidR="00EB5C65" w:rsidRDefault="0018340B" w:rsidP="00563E72">
      <w:pPr>
        <w:pStyle w:val="TreB"/>
        <w:spacing w:line="336" w:lineRule="auto"/>
        <w:rPr>
          <w:b w:val="0"/>
          <w:bCs w:val="0"/>
        </w:rPr>
      </w:pPr>
      <w:r>
        <w:rPr>
          <w:b w:val="0"/>
          <w:bCs w:val="0"/>
        </w:rPr>
        <w:t>W por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wnaniu</w:t>
      </w:r>
      <w:r>
        <w:rPr>
          <w:b w:val="0"/>
          <w:bCs w:val="0"/>
          <w:lang w:val="pt-PT"/>
        </w:rPr>
        <w:t xml:space="preserve"> do </w:t>
      </w:r>
      <w:r>
        <w:rPr>
          <w:b w:val="0"/>
          <w:bCs w:val="0"/>
        </w:rPr>
        <w:t>kwietnia, w 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rym wskaź</w:t>
      </w:r>
      <w:r>
        <w:rPr>
          <w:b w:val="0"/>
          <w:bCs w:val="0"/>
          <w:lang w:val="da-DK"/>
        </w:rPr>
        <w:t>nik og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lnego klimatu koniunktury, poprawił się we wszystkich branżach, w maju oceny są jednak mniej optymistyczne. Największy spadek wskaźnika (2,5) odnotowano w sektorze handlu hurtowego, </w:t>
      </w:r>
      <w:r w:rsidR="000D07B9">
        <w:rPr>
          <w:b w:val="0"/>
          <w:bCs w:val="0"/>
        </w:rPr>
        <w:t xml:space="preserve">a także </w:t>
      </w:r>
      <w:r>
        <w:rPr>
          <w:b w:val="0"/>
          <w:bCs w:val="0"/>
        </w:rPr>
        <w:t>transportu i gospodarki magazynowej</w:t>
      </w:r>
      <w:r w:rsidR="00563E72">
        <w:rPr>
          <w:b w:val="0"/>
          <w:bCs w:val="0"/>
        </w:rPr>
        <w:t xml:space="preserve"> (o 2,2)</w:t>
      </w:r>
      <w:r>
        <w:rPr>
          <w:b w:val="0"/>
          <w:bCs w:val="0"/>
        </w:rPr>
        <w:t>. Najniższy wskaźnik (12,5) og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lnego klimatu koniunktury w maju obserwujemy w przetw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rstwie przemysłowym i budownictwie (11,4). </w:t>
      </w:r>
      <w:r w:rsidR="00563E72">
        <w:rPr>
          <w:b w:val="0"/>
          <w:bCs w:val="0"/>
        </w:rPr>
        <w:t xml:space="preserve">Największy wzrost w ujęciu m/m odnotowano zaś w sektorze gastronomii i zakwaterowania (o 2,4). </w:t>
      </w:r>
    </w:p>
    <w:p w14:paraId="74D96845" w14:textId="77777777" w:rsidR="00EB5C65" w:rsidRDefault="00EB5C65" w:rsidP="00563E72">
      <w:pPr>
        <w:pStyle w:val="TreB"/>
        <w:spacing w:line="336" w:lineRule="auto"/>
        <w:rPr>
          <w:b w:val="0"/>
          <w:bCs w:val="0"/>
        </w:rPr>
      </w:pPr>
    </w:p>
    <w:p w14:paraId="41249554" w14:textId="2D70CDAB" w:rsidR="00EB5C65" w:rsidRPr="00625143" w:rsidRDefault="00625143" w:rsidP="00563E72">
      <w:pPr>
        <w:pStyle w:val="TreB"/>
        <w:spacing w:line="336" w:lineRule="auto"/>
        <w:rPr>
          <w:b w:val="0"/>
          <w:bCs w:val="0"/>
        </w:rPr>
      </w:pPr>
      <w:r>
        <w:rPr>
          <w:b w:val="0"/>
          <w:bCs w:val="0"/>
          <w:i/>
          <w:iCs/>
        </w:rPr>
        <w:t>P</w:t>
      </w:r>
      <w:r w:rsidRPr="00F71FCC">
        <w:rPr>
          <w:b w:val="0"/>
          <w:bCs w:val="0"/>
          <w:i/>
          <w:iCs/>
        </w:rPr>
        <w:t>rzez ostatnie dwa lata odsetek przedsiębiorstw we wszystkich działach gospodarki</w:t>
      </w:r>
      <w:r w:rsidR="00F71FCC" w:rsidRPr="00F71FCC">
        <w:rPr>
          <w:b w:val="0"/>
          <w:bCs w:val="0"/>
          <w:i/>
          <w:iCs/>
        </w:rPr>
        <w:t>,</w:t>
      </w:r>
      <w:r w:rsidRPr="00F71FCC">
        <w:rPr>
          <w:b w:val="0"/>
          <w:bCs w:val="0"/>
          <w:i/>
          <w:iCs/>
        </w:rPr>
        <w:t xml:space="preserve"> uznających klimat koniunktury za nieprzyjazny, tj. oczekujących pogorszenia swojej sytuacji </w:t>
      </w:r>
      <w:r w:rsidR="00563E72" w:rsidRPr="00F71FCC">
        <w:rPr>
          <w:b w:val="0"/>
          <w:bCs w:val="0"/>
          <w:i/>
          <w:iCs/>
        </w:rPr>
        <w:t>finansowej, jest</w:t>
      </w:r>
      <w:r w:rsidRPr="00F71FCC">
        <w:rPr>
          <w:b w:val="0"/>
          <w:bCs w:val="0"/>
          <w:i/>
          <w:iCs/>
        </w:rPr>
        <w:t xml:space="preserve"> większ</w:t>
      </w:r>
      <w:r w:rsidR="00F71FCC" w:rsidRPr="00F71FCC">
        <w:rPr>
          <w:b w:val="0"/>
          <w:bCs w:val="0"/>
          <w:i/>
          <w:iCs/>
        </w:rPr>
        <w:t>y</w:t>
      </w:r>
      <w:r w:rsidRPr="00F71FCC">
        <w:rPr>
          <w:b w:val="0"/>
          <w:bCs w:val="0"/>
          <w:i/>
          <w:iCs/>
        </w:rPr>
        <w:t xml:space="preserve"> niż odsetek przedsiębiorstw oczekujących poprawy swojej sytuacji. Ta różnica w przetw</w:t>
      </w:r>
      <w:r w:rsidRPr="00F71FCC">
        <w:rPr>
          <w:b w:val="0"/>
          <w:bCs w:val="0"/>
          <w:i/>
          <w:iCs/>
          <w:lang w:val="es-ES_tradnl"/>
        </w:rPr>
        <w:t>ó</w:t>
      </w:r>
      <w:r w:rsidRPr="00F71FCC">
        <w:rPr>
          <w:b w:val="0"/>
          <w:bCs w:val="0"/>
          <w:i/>
          <w:iCs/>
        </w:rPr>
        <w:t xml:space="preserve">rstwie przemysłowym, oceniających klimat koniunktury za </w:t>
      </w:r>
      <w:r w:rsidR="00563E72" w:rsidRPr="00F71FCC">
        <w:rPr>
          <w:b w:val="0"/>
          <w:bCs w:val="0"/>
          <w:i/>
          <w:iCs/>
        </w:rPr>
        <w:t>niekorzystny, jest przez</w:t>
      </w:r>
      <w:r w:rsidRPr="00F71FCC">
        <w:rPr>
          <w:b w:val="0"/>
          <w:bCs w:val="0"/>
          <w:i/>
          <w:iCs/>
        </w:rPr>
        <w:t xml:space="preserve"> ostatnie dwa lata najwyższa od roku 2010</w:t>
      </w:r>
      <w:r w:rsidR="00F71FCC" w:rsidRPr="00F71FCC">
        <w:rPr>
          <w:b w:val="0"/>
          <w:bCs w:val="0"/>
          <w:i/>
          <w:iCs/>
        </w:rPr>
        <w:t>.</w:t>
      </w:r>
      <w:r w:rsidRPr="00F71FCC">
        <w:rPr>
          <w:b w:val="0"/>
          <w:bCs w:val="0"/>
          <w:i/>
          <w:iCs/>
        </w:rPr>
        <w:t xml:space="preserve"> </w:t>
      </w:r>
      <w:r w:rsidR="00F71FCC" w:rsidRPr="00F71FCC">
        <w:rPr>
          <w:b w:val="0"/>
          <w:bCs w:val="0"/>
          <w:i/>
          <w:iCs/>
        </w:rPr>
        <w:t>W</w:t>
      </w:r>
      <w:r w:rsidRPr="00F71FCC">
        <w:rPr>
          <w:b w:val="0"/>
          <w:bCs w:val="0"/>
          <w:i/>
          <w:iCs/>
        </w:rPr>
        <w:t>aha się w przedziale od</w:t>
      </w:r>
      <w:r w:rsidRPr="00F71FCC">
        <w:rPr>
          <w:b w:val="0"/>
          <w:bCs w:val="0"/>
          <w:i/>
          <w:iCs/>
          <w:lang w:val="ru-RU"/>
        </w:rPr>
        <w:t xml:space="preserve"> 0</w:t>
      </w:r>
      <w:r w:rsidRPr="00F71FCC">
        <w:rPr>
          <w:b w:val="0"/>
          <w:bCs w:val="0"/>
          <w:i/>
          <w:iCs/>
        </w:rPr>
        <w:t xml:space="preserve"> do 40 </w:t>
      </w:r>
      <w:r w:rsidR="00563E72" w:rsidRPr="00F71FCC">
        <w:rPr>
          <w:b w:val="0"/>
          <w:bCs w:val="0"/>
          <w:i/>
          <w:iCs/>
        </w:rPr>
        <w:t>procent</w:t>
      </w:r>
      <w:r w:rsidR="00F71FCC" w:rsidRPr="00F71FCC">
        <w:rPr>
          <w:b w:val="0"/>
          <w:bCs w:val="0"/>
          <w:i/>
          <w:iCs/>
        </w:rPr>
        <w:t xml:space="preserve"> i </w:t>
      </w:r>
      <w:r w:rsidR="00F71FCC">
        <w:rPr>
          <w:b w:val="0"/>
          <w:bCs w:val="0"/>
          <w:i/>
          <w:iCs/>
        </w:rPr>
        <w:t xml:space="preserve">aktualnie </w:t>
      </w:r>
      <w:r w:rsidRPr="00F71FCC">
        <w:rPr>
          <w:b w:val="0"/>
          <w:bCs w:val="0"/>
          <w:i/>
          <w:iCs/>
        </w:rPr>
        <w:t>wynosi około 10-15 procent.</w:t>
      </w:r>
      <w:r>
        <w:rPr>
          <w:b w:val="0"/>
          <w:bCs w:val="0"/>
        </w:rPr>
        <w:t> </w:t>
      </w:r>
      <w:r w:rsidRPr="00625143">
        <w:rPr>
          <w:b w:val="0"/>
          <w:bCs w:val="0"/>
          <w:i/>
          <w:iCs/>
        </w:rPr>
        <w:t>Koniunkturę korzystnie oceniły jako jedyne podmioty z sektora finansowego i ubezpieczeniowego oraz z sektora informacji i komunikacji. Choć ich oceny są także poniżej średniej długookresowej.</w:t>
      </w:r>
      <w:r>
        <w:rPr>
          <w:b w:val="0"/>
          <w:bCs w:val="0"/>
        </w:rPr>
        <w:t xml:space="preserve"> </w:t>
      </w:r>
      <w:r w:rsidR="00563E72">
        <w:rPr>
          <w:b w:val="0"/>
          <w:bCs w:val="0"/>
        </w:rPr>
        <w:t>–</w:t>
      </w:r>
      <w:r>
        <w:rPr>
          <w:b w:val="0"/>
          <w:bCs w:val="0"/>
        </w:rPr>
        <w:t xml:space="preserve"> zauważa </w:t>
      </w:r>
      <w:r>
        <w:rPr>
          <w:color w:val="242424"/>
          <w:u w:color="242424"/>
          <w:shd w:val="clear" w:color="auto" w:fill="FFFFFF"/>
        </w:rPr>
        <w:t>prof. Stanisława Gomułki, główny ekonomista BCC i minister finans</w:t>
      </w:r>
      <w:r>
        <w:rPr>
          <w:color w:val="242424"/>
          <w:u w:color="242424"/>
          <w:shd w:val="clear" w:color="auto" w:fill="FFFFFF"/>
          <w:lang w:val="es-ES_tradnl"/>
        </w:rPr>
        <w:t>ó</w:t>
      </w:r>
      <w:r>
        <w:rPr>
          <w:color w:val="242424"/>
          <w:u w:color="242424"/>
          <w:shd w:val="clear" w:color="auto" w:fill="FFFFFF"/>
        </w:rPr>
        <w:t>w Gospodarczego Gabinetu Cieni Business Centre Club.</w:t>
      </w:r>
    </w:p>
    <w:p w14:paraId="338198C6" w14:textId="77777777" w:rsidR="00EB5C65" w:rsidRDefault="00EB5C65" w:rsidP="00563E72">
      <w:pPr>
        <w:pStyle w:val="TreB"/>
        <w:spacing w:line="336" w:lineRule="auto"/>
        <w:rPr>
          <w:b w:val="0"/>
          <w:bCs w:val="0"/>
        </w:rPr>
      </w:pPr>
    </w:p>
    <w:p w14:paraId="0DCEB4EE" w14:textId="161391DF" w:rsidR="00EB5C65" w:rsidRPr="00F71FCC" w:rsidRDefault="0018340B" w:rsidP="00563E72">
      <w:pPr>
        <w:pStyle w:val="TreB"/>
        <w:spacing w:line="336" w:lineRule="auto"/>
        <w:rPr>
          <w:color w:val="242424"/>
          <w:u w:color="242424"/>
        </w:rPr>
      </w:pPr>
      <w:r w:rsidRPr="00F71FCC">
        <w:rPr>
          <w:color w:val="242424"/>
          <w:u w:color="242424"/>
        </w:rPr>
        <w:t>Spadek produkcji w kwietniu odnotowano w 25 działach gospodarki na 34</w:t>
      </w:r>
      <w:r w:rsidR="00FB655E">
        <w:rPr>
          <w:color w:val="242424"/>
          <w:u w:color="242424"/>
        </w:rPr>
        <w:t>,</w:t>
      </w:r>
      <w:r w:rsidRPr="00F71FCC">
        <w:rPr>
          <w:color w:val="242424"/>
          <w:u w:color="242424"/>
        </w:rPr>
        <w:t xml:space="preserve"> </w:t>
      </w:r>
      <w:r w:rsidR="00F71FCC" w:rsidRPr="00F71FCC">
        <w:rPr>
          <w:color w:val="242424"/>
          <w:u w:color="242424"/>
        </w:rPr>
        <w:t xml:space="preserve">podał w swoich danych GUS. </w:t>
      </w:r>
    </w:p>
    <w:p w14:paraId="3457AA11" w14:textId="77777777" w:rsidR="00F71FCC" w:rsidRPr="00F71FCC" w:rsidRDefault="00F71FCC" w:rsidP="00563E72">
      <w:pPr>
        <w:pStyle w:val="TreB"/>
        <w:spacing w:line="336" w:lineRule="auto"/>
        <w:rPr>
          <w:color w:val="242424"/>
          <w:u w:color="242424"/>
        </w:rPr>
      </w:pPr>
    </w:p>
    <w:p w14:paraId="4DFFCF80" w14:textId="62C92518" w:rsidR="00EB5C65" w:rsidRPr="000564E5" w:rsidRDefault="0018340B" w:rsidP="00563E72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36" w:lineRule="auto"/>
        <w:jc w:val="both"/>
        <w:rPr>
          <w:rFonts w:ascii="Arial" w:hAnsi="Arial"/>
          <w:i/>
          <w:iCs/>
          <w:color w:val="242424"/>
          <w:sz w:val="22"/>
          <w:szCs w:val="22"/>
          <w:u w:color="242424"/>
        </w:rPr>
      </w:pP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To niepokojący </w:t>
      </w:r>
      <w:r w:rsidR="00563E72"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sygnał, zwłaszcza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 że analitycy spodziewali się spadku produkcji o 3,5 proc. r</w:t>
      </w:r>
      <w:r>
        <w:rPr>
          <w:rFonts w:ascii="Arial" w:hAnsi="Arial"/>
          <w:i/>
          <w:iCs/>
          <w:color w:val="242424"/>
          <w:sz w:val="22"/>
          <w:szCs w:val="22"/>
          <w:u w:color="242424"/>
        </w:rPr>
        <w:t>/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r i o 12,4 proc. m</w:t>
      </w:r>
      <w:r>
        <w:rPr>
          <w:rFonts w:ascii="Arial" w:hAnsi="Arial"/>
          <w:i/>
          <w:iCs/>
          <w:color w:val="242424"/>
          <w:sz w:val="22"/>
          <w:szCs w:val="22"/>
          <w:u w:color="242424"/>
        </w:rPr>
        <w:t>/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m. W ostatnim czasie polski przemysł wydawał się </w:t>
      </w:r>
      <w:r w:rsidR="00563E72"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iść na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 przek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lang w:val="es-ES_tradnl"/>
        </w:rPr>
        <w:t>ó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r wszystkim trendom i być odpornym na wszelkie zawirowania. Niestety wydaje się, że ten czas się kończy. Obecnie obserwujemy sł</w:t>
      </w:r>
      <w:r w:rsidRPr="0018340B">
        <w:rPr>
          <w:rFonts w:ascii="Arial" w:hAnsi="Arial"/>
          <w:i/>
          <w:iCs/>
          <w:color w:val="242424"/>
          <w:sz w:val="22"/>
          <w:szCs w:val="22"/>
          <w:u w:color="242424"/>
        </w:rPr>
        <w:t>abo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ść popytu zewnętrznego i zakończenie odbudowy zapas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lang w:val="es-ES_tradnl"/>
        </w:rPr>
        <w:t>ó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w. Zaskakuje </w:t>
      </w:r>
      <w:r w:rsidR="00563E72"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>zwłaszcza spadek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 w produkcji energii. I choć dane o wzroście PKB w I kw. 2023. były lepsze od oczekiwań, spadek produkcji może w dłuższej perspektywie – jeśli miałby się utrzymać </w:t>
      </w:r>
      <w:r w:rsidR="000564E5">
        <w:rPr>
          <w:rFonts w:ascii="Arial" w:hAnsi="Arial"/>
          <w:i/>
          <w:iCs/>
          <w:color w:val="242424"/>
          <w:sz w:val="22"/>
          <w:szCs w:val="22"/>
          <w:u w:color="242424"/>
        </w:rPr>
        <w:t>–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</w:rPr>
        <w:t xml:space="preserve"> niepokoić. Z 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shd w:val="clear" w:color="auto" w:fill="FFFFFF"/>
        </w:rPr>
        <w:t>produkcją na takim poziomi</w:t>
      </w:r>
      <w:r>
        <w:rPr>
          <w:rFonts w:ascii="Arial" w:hAnsi="Arial"/>
          <w:i/>
          <w:iCs/>
          <w:color w:val="242424"/>
          <w:sz w:val="22"/>
          <w:szCs w:val="22"/>
          <w:u w:color="242424"/>
          <w:shd w:val="clear" w:color="auto" w:fill="FFFFFF"/>
        </w:rPr>
        <w:t>e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shd w:val="clear" w:color="auto" w:fill="FFFFFF"/>
        </w:rPr>
        <w:t xml:space="preserve"> nie uda nam się wr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shd w:val="clear" w:color="auto" w:fill="FFFFFF"/>
          <w:lang w:val="es-ES_tradnl"/>
        </w:rPr>
        <w:t>ó</w:t>
      </w:r>
      <w:r w:rsidRPr="00F71FCC">
        <w:rPr>
          <w:rFonts w:ascii="Arial" w:hAnsi="Arial"/>
          <w:i/>
          <w:iCs/>
          <w:color w:val="242424"/>
          <w:sz w:val="22"/>
          <w:szCs w:val="22"/>
          <w:u w:color="242424"/>
          <w:shd w:val="clear" w:color="auto" w:fill="FFFFFF"/>
        </w:rPr>
        <w:t>cić na ścieżkę szybkiego wzrostu</w:t>
      </w:r>
      <w:r>
        <w:rPr>
          <w:rFonts w:ascii="Arial" w:hAnsi="Arial"/>
          <w:color w:val="242424"/>
          <w:sz w:val="22"/>
          <w:szCs w:val="22"/>
          <w:u w:color="242424"/>
          <w:shd w:val="clear" w:color="auto" w:fill="FFFFFF"/>
        </w:rPr>
        <w:t xml:space="preserve">. </w:t>
      </w:r>
      <w:r w:rsidR="00F71FCC">
        <w:rPr>
          <w:rFonts w:ascii="Arial" w:hAnsi="Arial"/>
          <w:color w:val="242424"/>
          <w:sz w:val="22"/>
          <w:szCs w:val="22"/>
          <w:u w:color="242424"/>
          <w:shd w:val="clear" w:color="auto" w:fill="FFFFFF"/>
        </w:rPr>
        <w:t>–</w:t>
      </w:r>
      <w:r>
        <w:rPr>
          <w:rFonts w:ascii="Arial" w:hAnsi="Arial"/>
          <w:color w:val="242424"/>
          <w:sz w:val="22"/>
          <w:szCs w:val="22"/>
          <w:u w:color="242424"/>
          <w:shd w:val="clear" w:color="auto" w:fill="FFFFFF"/>
        </w:rPr>
        <w:t xml:space="preserve"> m</w:t>
      </w:r>
      <w:r>
        <w:rPr>
          <w:rFonts w:ascii="Arial" w:hAnsi="Arial"/>
          <w:color w:val="242424"/>
          <w:sz w:val="22"/>
          <w:szCs w:val="22"/>
          <w:u w:color="242424"/>
          <w:shd w:val="clear" w:color="auto" w:fill="FFFFFF"/>
          <w:lang w:val="es-ES_tradnl"/>
        </w:rPr>
        <w:t>ó</w:t>
      </w:r>
      <w:r>
        <w:rPr>
          <w:rFonts w:ascii="Arial" w:hAnsi="Arial"/>
          <w:color w:val="242424"/>
          <w:sz w:val="22"/>
          <w:szCs w:val="22"/>
          <w:u w:color="242424"/>
          <w:shd w:val="clear" w:color="auto" w:fill="FFFFFF"/>
        </w:rPr>
        <w:t>wi</w:t>
      </w:r>
      <w:r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</w:rPr>
        <w:t xml:space="preserve"> Łukasz Bernatowicz, przewodniczący Rady Dialogu Społecznego, prezes Związku Pracodawc</w:t>
      </w:r>
      <w:r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  <w:lang w:val="es-ES_tradnl"/>
        </w:rPr>
        <w:t>ó</w:t>
      </w:r>
      <w:r w:rsidRPr="0018340B"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</w:rPr>
        <w:t xml:space="preserve">w Business Centre </w:t>
      </w:r>
      <w:r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</w:rPr>
        <w:t>Club.</w:t>
      </w:r>
    </w:p>
    <w:p w14:paraId="5EDEEFE5" w14:textId="77777777" w:rsidR="00C412B4" w:rsidRDefault="00C412B4" w:rsidP="00563E72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36" w:lineRule="auto"/>
        <w:jc w:val="both"/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</w:rPr>
      </w:pPr>
    </w:p>
    <w:p w14:paraId="44D31D68" w14:textId="5CCA1017" w:rsidR="00C412B4" w:rsidRPr="00625143" w:rsidRDefault="00C412B4" w:rsidP="00C412B4">
      <w:pPr>
        <w:pStyle w:val="TreB"/>
        <w:spacing w:line="336" w:lineRule="auto"/>
        <w:rPr>
          <w:b w:val="0"/>
          <w:bCs w:val="0"/>
          <w:i/>
          <w:iCs/>
          <w:color w:val="242424"/>
          <w:u w:color="242424"/>
          <w:shd w:val="clear" w:color="auto" w:fill="FFFFFF"/>
        </w:rPr>
      </w:pP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Te dane pokazują przede wszystkim wyjątkowo duże zróżnicowanie między działaniami aktywnoś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  <w:lang w:val="it-IT"/>
        </w:rPr>
        <w:t>ci,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od około 23</w:t>
      </w:r>
      <w:r w:rsidR="0018340B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proc.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spadku do około 32</w:t>
      </w:r>
      <w:r w:rsidR="0018340B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proc. 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wzrostu.</w:t>
      </w:r>
      <w:r w:rsid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Charakterystyczny</w:t>
      </w:r>
      <w:r w:rsid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dla</w:t>
      </w:r>
      <w:r w:rsid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obecnej niemal depresyjnej koniunktury jest spadek w Polsce produkcji artykułów spożywczych o 8,6</w:t>
      </w:r>
      <w:r w:rsidR="0018340B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proc.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r/r. Ten spadek jest w Polsce powiązany ze znacznym spadkiem realnych dochod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  <w:lang w:val="es-ES_tradnl"/>
        </w:rPr>
        <w:t>ó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w i realnych oszczędności gospodarstw domowych, w dużym stopniu rezultat wysokiej inflacji, 2-3 razy wyższej niż średnio w UE, UK oraz USA. Czymś nowym i pozytywnym jest dodatni bilans handlowy, czyli dodatni eksport netto, który podtrzymuje – a nawet nieco umacnia </w:t>
      </w:r>
      <w:r w:rsidR="000564E5">
        <w:rPr>
          <w:b w:val="0"/>
          <w:bCs w:val="0"/>
          <w:i/>
          <w:iCs/>
          <w:color w:val="242424"/>
          <w:u w:color="242424"/>
          <w:shd w:val="clear" w:color="auto" w:fill="FFFFFF"/>
        </w:rPr>
        <w:t>–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 k</w:t>
      </w:r>
      <w:r w:rsidR="000564E5">
        <w:rPr>
          <w:b w:val="0"/>
          <w:bCs w:val="0"/>
          <w:i/>
          <w:iCs/>
          <w:color w:val="242424"/>
          <w:u w:color="242424"/>
          <w:shd w:val="clear" w:color="auto" w:fill="FFFFFF"/>
        </w:rPr>
        <w:t>u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rs złotego wobec euro i dolara. Główny pow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  <w:lang w:val="es-ES_tradnl"/>
        </w:rPr>
        <w:t>ó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d poprawy to silny spadek cen importowanych surowców energetycznych.</w:t>
      </w:r>
      <w:r>
        <w:rPr>
          <w:b w:val="0"/>
          <w:bCs w:val="0"/>
          <w:color w:val="242424"/>
          <w:u w:color="242424"/>
          <w:shd w:val="clear" w:color="auto" w:fill="FFFFFF"/>
        </w:rPr>
        <w:t xml:space="preserve"> – ocenia </w:t>
      </w:r>
      <w:r>
        <w:rPr>
          <w:color w:val="242424"/>
          <w:u w:color="242424"/>
          <w:shd w:val="clear" w:color="auto" w:fill="FFFFFF"/>
        </w:rPr>
        <w:t>prof. Stanisława Gomułki, główny ekonomista BCC i minister finans</w:t>
      </w:r>
      <w:r>
        <w:rPr>
          <w:color w:val="242424"/>
          <w:u w:color="242424"/>
          <w:shd w:val="clear" w:color="auto" w:fill="FFFFFF"/>
          <w:lang w:val="es-ES_tradnl"/>
        </w:rPr>
        <w:t>ó</w:t>
      </w:r>
      <w:r>
        <w:rPr>
          <w:color w:val="242424"/>
          <w:u w:color="242424"/>
          <w:shd w:val="clear" w:color="auto" w:fill="FFFFFF"/>
        </w:rPr>
        <w:t>w Gospodarczego Gabinetu Cieni Business Centre Club.</w:t>
      </w:r>
    </w:p>
    <w:p w14:paraId="496CA832" w14:textId="77777777" w:rsidR="00C412B4" w:rsidRDefault="00C412B4" w:rsidP="00C412B4">
      <w:pPr>
        <w:pStyle w:val="TreB"/>
        <w:spacing w:line="336" w:lineRule="auto"/>
        <w:rPr>
          <w:b w:val="0"/>
          <w:bCs w:val="0"/>
          <w:color w:val="242424"/>
          <w:u w:color="242424"/>
          <w:shd w:val="clear" w:color="auto" w:fill="FFFFFF"/>
        </w:rPr>
      </w:pPr>
    </w:p>
    <w:p w14:paraId="564B48C3" w14:textId="2FBF286E" w:rsidR="00C412B4" w:rsidRPr="00563E72" w:rsidRDefault="00C412B4" w:rsidP="00C412B4">
      <w:pPr>
        <w:pStyle w:val="TreB"/>
        <w:spacing w:line="336" w:lineRule="auto"/>
        <w:rPr>
          <w:color w:val="242424"/>
          <w:u w:color="242424"/>
          <w:shd w:val="clear" w:color="auto" w:fill="FFFFFF"/>
        </w:rPr>
      </w:pP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Główny problem ekonomiczny to </w:t>
      </w:r>
      <w:r w:rsidR="002325D3">
        <w:rPr>
          <w:b w:val="0"/>
          <w:bCs w:val="0"/>
          <w:i/>
          <w:iCs/>
          <w:color w:val="242424"/>
          <w:u w:color="242424"/>
          <w:shd w:val="clear" w:color="auto" w:fill="FFFFFF"/>
        </w:rPr>
        <w:t xml:space="preserve">także 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silny spadek popytu na mieszkania, w reakcji na duży wzrost cen materiałów budowlanych oraz koszt obsługi kredyt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  <w:lang w:val="es-ES_tradnl"/>
        </w:rPr>
        <w:t>ó</w:t>
      </w:r>
      <w:r w:rsidRPr="00625143">
        <w:rPr>
          <w:b w:val="0"/>
          <w:bCs w:val="0"/>
          <w:i/>
          <w:iCs/>
          <w:color w:val="242424"/>
          <w:u w:color="242424"/>
          <w:shd w:val="clear" w:color="auto" w:fill="FFFFFF"/>
        </w:rPr>
        <w:t>w bankowych.</w:t>
      </w:r>
      <w:r>
        <w:rPr>
          <w:color w:val="242424"/>
          <w:u w:color="242424"/>
          <w:shd w:val="clear" w:color="auto" w:fill="FFFFFF"/>
        </w:rPr>
        <w:t xml:space="preserve"> – dodaje ekonomista</w:t>
      </w:r>
      <w:r>
        <w:rPr>
          <w:color w:val="242424"/>
          <w:u w:color="242424"/>
          <w:shd w:val="clear" w:color="auto" w:fill="FFFFFF"/>
          <w:lang w:val="pt-PT"/>
        </w:rPr>
        <w:t xml:space="preserve"> BCC.</w:t>
      </w:r>
    </w:p>
    <w:p w14:paraId="69C82E73" w14:textId="77777777" w:rsidR="00EB5C65" w:rsidRDefault="00EB5C65" w:rsidP="00563E72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36" w:lineRule="auto"/>
        <w:jc w:val="both"/>
        <w:rPr>
          <w:rFonts w:ascii="Arial" w:eastAsia="Arial" w:hAnsi="Arial" w:cs="Arial"/>
          <w:color w:val="242424"/>
          <w:sz w:val="22"/>
          <w:szCs w:val="22"/>
          <w:u w:color="242424"/>
          <w:shd w:val="clear" w:color="auto" w:fill="FFFFFF"/>
        </w:rPr>
      </w:pPr>
    </w:p>
    <w:p w14:paraId="3FAAE086" w14:textId="3483433C" w:rsidR="00EB5C65" w:rsidRDefault="0018340B" w:rsidP="00563E72">
      <w:pPr>
        <w:pStyle w:val="TreB"/>
        <w:spacing w:line="336" w:lineRule="auto"/>
        <w:rPr>
          <w:b w:val="0"/>
          <w:bCs w:val="0"/>
        </w:rPr>
      </w:pPr>
      <w:r w:rsidRPr="00C412B4">
        <w:t xml:space="preserve">Do badania </w:t>
      </w:r>
      <w:r w:rsidR="00F71FCC" w:rsidRPr="00C412B4">
        <w:t xml:space="preserve">„Koniunktura w przetwórstwie przemysłowym, budownictwie, handlu i usługach - maj 2023 roku” </w:t>
      </w:r>
      <w:r w:rsidRPr="00C412B4">
        <w:t>GUS dołączył moduł pytań diagnozujących wpływ wojny w Ukrainie na koniunkturę gospodarczą oraz inwestycje.</w:t>
      </w:r>
      <w:r>
        <w:rPr>
          <w:b w:val="0"/>
          <w:bCs w:val="0"/>
        </w:rPr>
        <w:t xml:space="preserve"> W b</w:t>
      </w:r>
      <w:r>
        <w:rPr>
          <w:b w:val="0"/>
          <w:bCs w:val="0"/>
          <w:lang w:val="es-ES_tradnl"/>
        </w:rPr>
        <w:t>ada</w:t>
      </w:r>
      <w:r>
        <w:rPr>
          <w:b w:val="0"/>
          <w:bCs w:val="0"/>
        </w:rPr>
        <w:t xml:space="preserve">nie udział wzięli przedsiębiorcy </w:t>
      </w:r>
      <w:r w:rsidR="00563E72">
        <w:rPr>
          <w:b w:val="0"/>
          <w:bCs w:val="0"/>
        </w:rPr>
        <w:t>reprezentujący 6</w:t>
      </w:r>
      <w:r>
        <w:rPr>
          <w:b w:val="0"/>
          <w:bCs w:val="0"/>
        </w:rPr>
        <w:t xml:space="preserve"> branż. W ankiecie zapytano ich o przewidywania dotyczące poziomu tegorocznych inwestycji. W większości branż deklarowano utrzymanie poziomu inwestycji. Część przedsiębiorc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w, głównie z sektora budowlanego (ponad 40 proc.) przewiduje też spadki inwestycji.</w:t>
      </w:r>
    </w:p>
    <w:p w14:paraId="10A95E5B" w14:textId="77777777" w:rsidR="00563E72" w:rsidRDefault="00563E72" w:rsidP="00563E72">
      <w:pPr>
        <w:pStyle w:val="TreB"/>
        <w:spacing w:line="336" w:lineRule="auto"/>
        <w:rPr>
          <w:b w:val="0"/>
          <w:bCs w:val="0"/>
        </w:rPr>
      </w:pPr>
    </w:p>
    <w:p w14:paraId="197439FE" w14:textId="40F24E40" w:rsidR="00EB5C65" w:rsidRDefault="0018340B" w:rsidP="00563E72">
      <w:pPr>
        <w:pStyle w:val="TreB"/>
        <w:spacing w:line="336" w:lineRule="auto"/>
        <w:rPr>
          <w:b w:val="0"/>
          <w:bCs w:val="0"/>
        </w:rPr>
      </w:pPr>
      <w:r>
        <w:rPr>
          <w:b w:val="0"/>
          <w:bCs w:val="0"/>
        </w:rPr>
        <w:t>Przedsiębiorstwa nadal odczuwają skutki wojny w Ukrainie. We wszystkich branżach najczęściej wskazywanym ujemnym skutkiem jest: zakłócenie łańcucha dostaw, wzrost koszt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oraz spadek sprzedaży. Zmniejsza się natomiast ilość przedsiębiorc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w definiujących skutki rosyjskiej inwazji na Ukrainę jako „poważne” lub „zagrażające stabilności firmy” (5,4 proc.). </w:t>
      </w:r>
    </w:p>
    <w:p w14:paraId="1AE1796D" w14:textId="77777777" w:rsidR="00EB5C65" w:rsidRDefault="00EB5C65" w:rsidP="00563E72">
      <w:pPr>
        <w:pStyle w:val="TreB"/>
        <w:spacing w:line="336" w:lineRule="auto"/>
        <w:rPr>
          <w:b w:val="0"/>
          <w:bCs w:val="0"/>
        </w:rPr>
      </w:pPr>
    </w:p>
    <w:p w14:paraId="0D6E9477" w14:textId="38C2C312" w:rsidR="00EB5C65" w:rsidRPr="00F71FCC" w:rsidRDefault="0018340B" w:rsidP="00F71FCC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3" w:lineRule="atLeast"/>
        <w:rPr>
          <w:rFonts w:ascii="Calibri" w:eastAsia="Calibri" w:hAnsi="Calibri" w:cs="Calibri"/>
          <w:color w:val="242424"/>
          <w:sz w:val="22"/>
          <w:szCs w:val="22"/>
          <w:u w:color="242424"/>
        </w:rPr>
      </w:pPr>
      <w:r>
        <w:rPr>
          <w:rFonts w:ascii="Arial" w:hAnsi="Arial"/>
          <w:b/>
          <w:bCs/>
          <w:color w:val="201F1E"/>
          <w:sz w:val="18"/>
          <w:szCs w:val="18"/>
          <w:u w:color="201F1E"/>
        </w:rPr>
        <w:t> </w:t>
      </w:r>
    </w:p>
    <w:p w14:paraId="66424955" w14:textId="77777777" w:rsidR="00EB5C65" w:rsidRDefault="0018340B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  <w:r w:rsidRPr="0018340B">
        <w:rPr>
          <w:rFonts w:ascii="Arial" w:hAnsi="Arial"/>
          <w:b/>
          <w:bCs/>
        </w:rPr>
        <w:t>———</w:t>
      </w:r>
      <w:r>
        <w:rPr>
          <w:rFonts w:ascii="Arial" w:hAnsi="Arial"/>
          <w:b/>
          <w:bCs/>
        </w:rPr>
        <w:t>-</w:t>
      </w:r>
    </w:p>
    <w:p w14:paraId="18043340" w14:textId="77777777" w:rsidR="00EB5C65" w:rsidRDefault="00EB5C65">
      <w:pPr>
        <w:pStyle w:val="DomylneA"/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742ECAE8" w14:textId="77777777" w:rsidR="00EB5C65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  <w:hyperlink r:id="rId8" w:history="1">
        <w:r w:rsidR="0018340B">
          <w:rPr>
            <w:rStyle w:val="Hyperlink0"/>
          </w:rPr>
          <w:t>www.bcc.pl</w:t>
        </w:r>
      </w:hyperlink>
    </w:p>
    <w:p w14:paraId="422B0A03" w14:textId="77777777" w:rsidR="00EB5C65" w:rsidRDefault="00EB5C65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082BE5F1" w14:textId="77777777" w:rsidR="00EB5C65" w:rsidRDefault="0018340B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 to największa w kraju ustawowa organizacja indywidualnych pracodawc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172101A8" w14:textId="77777777" w:rsidR="00EB5C65" w:rsidRDefault="00EB5C65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684938DC" w14:textId="77777777" w:rsidR="00EB5C65" w:rsidRDefault="0018340B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Business Centre Club w mediach społecznościowych: </w:t>
      </w:r>
    </w:p>
    <w:p w14:paraId="5C173DEA" w14:textId="77777777" w:rsidR="00EB5C65" w:rsidRPr="0018340B" w:rsidRDefault="0018340B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>
        <w:rPr>
          <w:rStyle w:val="Brak"/>
          <w:rFonts w:ascii="Arial" w:hAnsi="Arial"/>
          <w:sz w:val="18"/>
          <w:szCs w:val="18"/>
          <w:lang w:val="en-US"/>
        </w:rPr>
        <w:t xml:space="preserve">LinkedIn: www.linkedin.com/company/business-centre-club/ </w:t>
      </w:r>
    </w:p>
    <w:p w14:paraId="02AF2CBA" w14:textId="77777777" w:rsidR="00EB5C65" w:rsidRPr="0018340B" w:rsidRDefault="0018340B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>
        <w:rPr>
          <w:rStyle w:val="Brak"/>
          <w:rFonts w:ascii="Arial" w:hAnsi="Arial"/>
          <w:sz w:val="18"/>
          <w:szCs w:val="18"/>
          <w:lang w:val="it-IT"/>
        </w:rPr>
        <w:t xml:space="preserve">Facebook: www.facebook.com/businesscentreclub </w:t>
      </w:r>
    </w:p>
    <w:p w14:paraId="15539292" w14:textId="77777777" w:rsidR="00EB5C65" w:rsidRPr="0018340B" w:rsidRDefault="0018340B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18340B">
        <w:rPr>
          <w:rStyle w:val="Brak"/>
          <w:rFonts w:ascii="Arial" w:hAnsi="Arial"/>
          <w:sz w:val="18"/>
          <w:szCs w:val="18"/>
          <w:lang w:val="en-GB"/>
        </w:rPr>
        <w:t>Twitter: www.twitt</w:t>
      </w:r>
      <w:r>
        <w:rPr>
          <w:rStyle w:val="Brak"/>
          <w:rFonts w:ascii="Arial" w:hAnsi="Arial"/>
          <w:sz w:val="18"/>
          <w:szCs w:val="18"/>
          <w:lang w:val="pt-PT"/>
        </w:rPr>
        <w:t xml:space="preserve">er.com/BCCorg </w:t>
      </w:r>
    </w:p>
    <w:p w14:paraId="422AAAF5" w14:textId="77777777" w:rsidR="00EB5C65" w:rsidRPr="0018340B" w:rsidRDefault="00EB5C65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</w:p>
    <w:p w14:paraId="79ED4128" w14:textId="77777777" w:rsidR="00EB5C65" w:rsidRDefault="0018340B">
      <w:pPr>
        <w:pStyle w:val="DomylneA"/>
        <w:spacing w:before="0" w:line="240" w:lineRule="auto"/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Informacji udzielają: agencja Open Minded Group: pr@openmindedgroup.pl oraz Renta Stefanowska (BCC) renata.stefanowska@bcc.pl </w:t>
      </w:r>
    </w:p>
    <w:sectPr w:rsidR="00EB5C65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993B" w14:textId="77777777" w:rsidR="00315158" w:rsidRDefault="00315158">
      <w:r>
        <w:separator/>
      </w:r>
    </w:p>
  </w:endnote>
  <w:endnote w:type="continuationSeparator" w:id="0">
    <w:p w14:paraId="634E3337" w14:textId="77777777" w:rsidR="00315158" w:rsidRDefault="0031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9EE" w14:textId="77777777" w:rsidR="00EB5C65" w:rsidRDefault="00EB5C6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6340" w14:textId="77777777" w:rsidR="00315158" w:rsidRDefault="00315158">
      <w:r>
        <w:separator/>
      </w:r>
    </w:p>
  </w:footnote>
  <w:footnote w:type="continuationSeparator" w:id="0">
    <w:p w14:paraId="0D68E3A0" w14:textId="77777777" w:rsidR="00315158" w:rsidRDefault="0031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63BD" w14:textId="77777777" w:rsidR="00EB5C65" w:rsidRDefault="00EB5C6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65"/>
    <w:rsid w:val="000564E5"/>
    <w:rsid w:val="000D07B9"/>
    <w:rsid w:val="0010189F"/>
    <w:rsid w:val="0018340B"/>
    <w:rsid w:val="002325D3"/>
    <w:rsid w:val="00315158"/>
    <w:rsid w:val="00337372"/>
    <w:rsid w:val="00563E72"/>
    <w:rsid w:val="00625143"/>
    <w:rsid w:val="00C412B4"/>
    <w:rsid w:val="00CC4003"/>
    <w:rsid w:val="00D43861"/>
    <w:rsid w:val="00DB63C4"/>
    <w:rsid w:val="00EB5C65"/>
    <w:rsid w:val="00F71FCC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9A64"/>
  <w15:docId w15:val="{D9D6B2AD-9F51-42B2-B41C-B66FD9FF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332E-DC35-49FC-A855-738DF719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4</cp:revision>
  <dcterms:created xsi:type="dcterms:W3CDTF">2023-05-24T08:19:00Z</dcterms:created>
  <dcterms:modified xsi:type="dcterms:W3CDTF">2023-05-24T08:20:00Z</dcterms:modified>
</cp:coreProperties>
</file>