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9511" w14:textId="77777777" w:rsidR="008163C1" w:rsidRDefault="008163C1">
      <w:pPr>
        <w:jc w:val="both"/>
        <w:rPr>
          <w:rStyle w:val="BrakA"/>
        </w:rPr>
      </w:pPr>
    </w:p>
    <w:p w14:paraId="57868DD5" w14:textId="77777777" w:rsidR="008163C1" w:rsidRDefault="00627127">
      <w:pPr>
        <w:ind w:left="6372"/>
        <w:jc w:val="both"/>
        <w:rPr>
          <w:rStyle w:val="BrakA"/>
        </w:rPr>
      </w:pPr>
      <w:r>
        <w:rPr>
          <w:rFonts w:ascii="Arial" w:hAnsi="Arial"/>
        </w:rPr>
        <w:t>Warszawa,  05</w:t>
      </w:r>
      <w:r>
        <w:rPr>
          <w:rFonts w:ascii="Arial" w:hAnsi="Arial"/>
          <w:lang w:val="en-US"/>
        </w:rPr>
        <w:t>.07.2024</w:t>
      </w:r>
      <w:r>
        <w:rPr>
          <w:rStyle w:val="BrakA"/>
        </w:rPr>
        <w:t xml:space="preserve"> r. </w:t>
      </w:r>
    </w:p>
    <w:p w14:paraId="5FFC0A5B" w14:textId="77777777" w:rsidR="008163C1" w:rsidRDefault="008163C1">
      <w:pPr>
        <w:ind w:left="6372"/>
        <w:jc w:val="both"/>
        <w:rPr>
          <w:rFonts w:ascii="Arial" w:eastAsia="Arial" w:hAnsi="Arial" w:cs="Arial"/>
          <w:sz w:val="24"/>
          <w:szCs w:val="24"/>
        </w:rPr>
      </w:pPr>
    </w:p>
    <w:p w14:paraId="63262710" w14:textId="77777777" w:rsidR="008163C1" w:rsidRDefault="008163C1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9B58121" w14:textId="77777777" w:rsidR="008163C1" w:rsidRDefault="00627127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0DF7D1C" wp14:editId="18CF4356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27B38B" w14:textId="77777777" w:rsidR="008163C1" w:rsidRDefault="008163C1">
      <w:pPr>
        <w:spacing w:line="264" w:lineRule="auto"/>
        <w:jc w:val="center"/>
        <w:rPr>
          <w:rFonts w:ascii="Arial Black" w:eastAsia="Arial Black" w:hAnsi="Arial Black" w:cs="Arial Black"/>
          <w:caps/>
          <w:color w:val="AF2F32"/>
          <w:sz w:val="26"/>
          <w:szCs w:val="26"/>
          <w:u w:color="AF2F32"/>
        </w:rPr>
      </w:pPr>
    </w:p>
    <w:p w14:paraId="351FAC32" w14:textId="77777777" w:rsidR="008163C1" w:rsidRDefault="00627127">
      <w:pPr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</w:rPr>
        <w:t>BCC APELUJE do ministra finans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ó</w:t>
      </w:r>
      <w:r>
        <w:rPr>
          <w:rFonts w:ascii="Arial Black" w:hAnsi="Arial Black"/>
          <w:caps/>
          <w:color w:val="AF2F32"/>
          <w:sz w:val="28"/>
          <w:szCs w:val="28"/>
          <w:u w:color="AF2F32"/>
        </w:rPr>
        <w:t xml:space="preserve">w </w:t>
      </w:r>
    </w:p>
    <w:p w14:paraId="1B1DC5B2" w14:textId="77777777" w:rsidR="008163C1" w:rsidRDefault="00627127">
      <w:pPr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O ROZPOCZ</w:t>
      </w:r>
      <w:r>
        <w:rPr>
          <w:rFonts w:ascii="Arial Black" w:hAnsi="Arial Black"/>
          <w:caps/>
          <w:color w:val="AF2F32"/>
          <w:sz w:val="28"/>
          <w:szCs w:val="28"/>
          <w:u w:color="AF2F32"/>
        </w:rPr>
        <w:t>Ę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de-DE"/>
        </w:rPr>
        <w:t xml:space="preserve">CIE PRAC </w:t>
      </w:r>
    </w:p>
    <w:p w14:paraId="6035F4BC" w14:textId="77777777" w:rsidR="008163C1" w:rsidRDefault="00627127">
      <w:pPr>
        <w:jc w:val="center"/>
        <w:rPr>
          <w:rFonts w:ascii="Arial" w:eastAsia="Arial" w:hAnsi="Arial" w:cs="Arial"/>
          <w:b/>
          <w:bCs/>
          <w:caps/>
          <w:color w:val="B02F34"/>
          <w:sz w:val="24"/>
          <w:szCs w:val="24"/>
          <w:u w:color="B02F34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  <w:lang w:val="de-DE"/>
        </w:rPr>
        <w:t>NAD DU</w:t>
      </w:r>
      <w:r>
        <w:rPr>
          <w:rFonts w:ascii="Arial Black" w:hAnsi="Arial Black"/>
          <w:caps/>
          <w:color w:val="AF2F32"/>
          <w:sz w:val="28"/>
          <w:szCs w:val="28"/>
          <w:u w:color="AF2F32"/>
        </w:rPr>
        <w:t xml:space="preserve">ŻĄ 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de-DE"/>
        </w:rPr>
        <w:t>REFORM</w:t>
      </w:r>
      <w:r>
        <w:rPr>
          <w:rFonts w:ascii="Arial Black" w:hAnsi="Arial Black"/>
          <w:caps/>
          <w:color w:val="AF2F32"/>
          <w:sz w:val="28"/>
          <w:szCs w:val="28"/>
          <w:u w:color="AF2F32"/>
        </w:rPr>
        <w:t xml:space="preserve">Ą </w:t>
      </w:r>
      <w:r>
        <w:rPr>
          <w:rFonts w:ascii="Arial Black" w:hAnsi="Arial Black"/>
          <w:caps/>
          <w:color w:val="AF2F32"/>
          <w:sz w:val="28"/>
          <w:szCs w:val="28"/>
          <w:u w:color="AF2F32"/>
          <w:lang w:val="de-DE"/>
        </w:rPr>
        <w:t>PODATKOW</w:t>
      </w:r>
      <w:r>
        <w:rPr>
          <w:rFonts w:ascii="Arial Black" w:hAnsi="Arial Black"/>
          <w:caps/>
          <w:color w:val="AF2F32"/>
          <w:sz w:val="28"/>
          <w:szCs w:val="28"/>
          <w:u w:color="AF2F32"/>
        </w:rPr>
        <w:t>Ą</w:t>
      </w:r>
    </w:p>
    <w:p w14:paraId="10FABD8C" w14:textId="77777777" w:rsidR="008163C1" w:rsidRDefault="008163C1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7E4650E3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u w:color="3D3D3D"/>
        </w:rPr>
      </w:pPr>
      <w:r>
        <w:rPr>
          <w:rFonts w:ascii="Arial" w:hAnsi="Arial"/>
          <w:b/>
          <w:bCs/>
          <w:u w:color="3D3D3D"/>
        </w:rPr>
        <w:t>4 lipca w Ministerstwie Finans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w odbył</w:t>
      </w:r>
      <w:r>
        <w:rPr>
          <w:rFonts w:ascii="Arial" w:hAnsi="Arial"/>
          <w:b/>
          <w:bCs/>
          <w:u w:color="3D3D3D"/>
          <w:lang w:val="it-IT"/>
        </w:rPr>
        <w:t>o si</w:t>
      </w:r>
      <w:r>
        <w:rPr>
          <w:rFonts w:ascii="Arial" w:hAnsi="Arial"/>
          <w:b/>
          <w:bCs/>
          <w:u w:color="3D3D3D"/>
        </w:rPr>
        <w:t>ę spotkanie przedstawicieli przedsiębiorc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w z ministrem finans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w Andrzejem Domańskim, podczas kt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rego eksperci Business Center Club zaapelowali do Ministerstwa Finans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 xml:space="preserve">w o pilne rozpoczęcie prac nad gruntowną </w:t>
      </w:r>
      <w:r>
        <w:rPr>
          <w:rFonts w:ascii="Arial" w:hAnsi="Arial"/>
          <w:b/>
          <w:bCs/>
          <w:u w:color="3D3D3D"/>
          <w:lang w:val="pt-PT"/>
        </w:rPr>
        <w:t>reform</w:t>
      </w:r>
      <w:r>
        <w:rPr>
          <w:rFonts w:ascii="Arial" w:hAnsi="Arial"/>
          <w:b/>
          <w:bCs/>
          <w:u w:color="3D3D3D"/>
        </w:rPr>
        <w:t xml:space="preserve">ą systemu podatkowego. </w:t>
      </w:r>
    </w:p>
    <w:p w14:paraId="6A9A1B09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b/>
          <w:bCs/>
          <w:u w:color="3D3D3D"/>
        </w:rPr>
      </w:pPr>
      <w:r>
        <w:rPr>
          <w:rFonts w:ascii="Arial" w:hAnsi="Arial"/>
          <w:u w:color="3D3D3D"/>
        </w:rPr>
        <w:t xml:space="preserve">W czwartkowym spotkaniu uczestniczyli m.in. dr Jacek Goliszewski, prezes BCC, dr Łukasz Bernatowicz - prezes Związku </w:t>
      </w:r>
      <w:proofErr w:type="spellStart"/>
      <w:r>
        <w:rPr>
          <w:rFonts w:ascii="Arial" w:hAnsi="Arial"/>
          <w:u w:color="3D3D3D"/>
        </w:rPr>
        <w:t>Pracodawc</w:t>
      </w:r>
      <w:proofErr w:type="spellEnd"/>
      <w:r>
        <w:rPr>
          <w:rFonts w:ascii="Arial" w:hAnsi="Arial"/>
          <w:u w:color="3D3D3D"/>
          <w:lang w:val="es-ES_tradnl"/>
        </w:rPr>
        <w:t>ó</w:t>
      </w:r>
      <w:r w:rsidRPr="00446724">
        <w:rPr>
          <w:rFonts w:ascii="Arial" w:hAnsi="Arial"/>
          <w:u w:color="3D3D3D"/>
        </w:rPr>
        <w:t>w BCC, Micha</w:t>
      </w:r>
      <w:r>
        <w:rPr>
          <w:rFonts w:ascii="Arial" w:hAnsi="Arial"/>
          <w:u w:color="3D3D3D"/>
        </w:rPr>
        <w:t>ł Borowski, przewodniczący Komisji Podatkowej BCC i partner w Crido, jak r</w:t>
      </w:r>
      <w:r>
        <w:rPr>
          <w:rFonts w:ascii="Arial" w:hAnsi="Arial"/>
          <w:u w:color="3D3D3D"/>
          <w:lang w:val="es-ES_tradnl"/>
        </w:rPr>
        <w:t>ó</w:t>
      </w:r>
      <w:r>
        <w:rPr>
          <w:rFonts w:ascii="Arial" w:hAnsi="Arial"/>
          <w:u w:color="3D3D3D"/>
        </w:rPr>
        <w:t>wnież szefowie pozostałych komisji branżowych, eksperci i licznie przybyli przedstawiciele firm członkowskich.</w:t>
      </w:r>
    </w:p>
    <w:p w14:paraId="350C0ACD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b/>
          <w:bCs/>
          <w:u w:color="3D3D3D"/>
        </w:rPr>
      </w:pPr>
      <w:r>
        <w:rPr>
          <w:rFonts w:ascii="Arial" w:hAnsi="Arial"/>
          <w:b/>
          <w:bCs/>
          <w:u w:color="3D3D3D"/>
        </w:rPr>
        <w:t>Eksperci BCC pod kierownictwem Michała Borowskiego, przewodniczącego Komisji Podatkowej BCC, opracowali 12 postulat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w, kt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 xml:space="preserve">re nazwali Dużą </w:t>
      </w:r>
      <w:r>
        <w:rPr>
          <w:rFonts w:ascii="Arial" w:hAnsi="Arial"/>
          <w:b/>
          <w:bCs/>
          <w:u w:color="3D3D3D"/>
          <w:lang w:val="de-DE"/>
        </w:rPr>
        <w:t>Reform</w:t>
      </w:r>
      <w:r>
        <w:rPr>
          <w:rFonts w:ascii="Arial" w:hAnsi="Arial"/>
          <w:b/>
          <w:bCs/>
          <w:u w:color="3D3D3D"/>
        </w:rPr>
        <w:t>ą Podatkową                  i kt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rą przedstawili ministrowi finans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 xml:space="preserve">w.                                                                                                                                                  </w:t>
      </w:r>
    </w:p>
    <w:p w14:paraId="2A072ED8" w14:textId="77777777" w:rsidR="008163C1" w:rsidRDefault="00627127">
      <w:pPr>
        <w:pStyle w:val="DomylneA"/>
        <w:numPr>
          <w:ilvl w:val="0"/>
          <w:numId w:val="2"/>
        </w:numPr>
        <w:suppressAutoHyphens/>
        <w:spacing w:after="200" w:line="264" w:lineRule="auto"/>
        <w:jc w:val="both"/>
        <w:rPr>
          <w:rFonts w:ascii="Arial" w:hAnsi="Arial"/>
        </w:rPr>
      </w:pPr>
      <w:r>
        <w:rPr>
          <w:rFonts w:ascii="Arial" w:hAnsi="Arial"/>
          <w:i/>
          <w:iCs/>
          <w:u w:color="3D3D3D"/>
        </w:rPr>
        <w:t>Po ponad 30 latach transformacji Polskę i polskich przedsiębiorc</w:t>
      </w:r>
      <w:r>
        <w:rPr>
          <w:rFonts w:ascii="Arial" w:hAnsi="Arial"/>
          <w:i/>
          <w:iCs/>
          <w:u w:color="3D3D3D"/>
          <w:lang w:val="es-ES_tradnl"/>
        </w:rPr>
        <w:t>ó</w:t>
      </w:r>
      <w:r>
        <w:rPr>
          <w:rFonts w:ascii="Arial" w:hAnsi="Arial"/>
          <w:i/>
          <w:iCs/>
          <w:u w:color="3D3D3D"/>
        </w:rPr>
        <w:t>w stać na adekwatny                      do pozycji i ambicji społeczno-gospodarczych naszego kraju, przejrzysty, sp</w:t>
      </w:r>
      <w:r>
        <w:rPr>
          <w:rFonts w:ascii="Arial" w:hAnsi="Arial"/>
          <w:i/>
          <w:iCs/>
          <w:u w:color="3D3D3D"/>
          <w:lang w:val="es-ES_tradnl"/>
        </w:rPr>
        <w:t>ó</w:t>
      </w:r>
      <w:r>
        <w:rPr>
          <w:rFonts w:ascii="Arial" w:hAnsi="Arial"/>
          <w:i/>
          <w:iCs/>
          <w:u w:color="3D3D3D"/>
        </w:rPr>
        <w:t xml:space="preserve">jny                                   i przewidywalny system podatkowy. Komisja podatkowa BCC opracowała                                  </w:t>
      </w:r>
      <w:r>
        <w:rPr>
          <w:rFonts w:ascii="Arial" w:hAnsi="Arial"/>
          <w:b/>
          <w:bCs/>
          <w:i/>
          <w:iCs/>
          <w:u w:color="3D3D3D"/>
        </w:rPr>
        <w:t>12 rekomendacji dla takiej właśnie Dużej Reformy.</w:t>
      </w:r>
      <w:r>
        <w:rPr>
          <w:rFonts w:ascii="Arial" w:hAnsi="Arial"/>
          <w:i/>
          <w:iCs/>
          <w:u w:color="3D3D3D"/>
        </w:rPr>
        <w:t xml:space="preserve"> W dokumencie tym nie ma żadnej propozycji, dotyczącej oczekiwanej stawki PIT czy VAT. Jest to dokument systemowy, wskazujący strukturalne sł</w:t>
      </w:r>
      <w:r w:rsidRPr="00446724">
        <w:rPr>
          <w:rFonts w:ascii="Arial" w:hAnsi="Arial"/>
          <w:i/>
          <w:iCs/>
          <w:u w:color="3D3D3D"/>
        </w:rPr>
        <w:t>abo</w:t>
      </w:r>
      <w:r>
        <w:rPr>
          <w:rFonts w:ascii="Arial" w:hAnsi="Arial"/>
          <w:i/>
          <w:iCs/>
          <w:u w:color="3D3D3D"/>
        </w:rPr>
        <w:t>ści i nieefektywności obecnego systemu oraz postulaty                  i rekomendacje ich rozwiązania, jak r</w:t>
      </w:r>
      <w:r>
        <w:rPr>
          <w:rFonts w:ascii="Arial" w:hAnsi="Arial"/>
          <w:i/>
          <w:iCs/>
          <w:u w:color="3D3D3D"/>
          <w:lang w:val="es-ES_tradnl"/>
        </w:rPr>
        <w:t>ó</w:t>
      </w:r>
      <w:r>
        <w:rPr>
          <w:rFonts w:ascii="Arial" w:hAnsi="Arial"/>
          <w:i/>
          <w:iCs/>
          <w:u w:color="3D3D3D"/>
        </w:rPr>
        <w:t xml:space="preserve">wnież </w:t>
      </w:r>
      <w:r>
        <w:rPr>
          <w:rFonts w:ascii="Arial" w:hAnsi="Arial"/>
          <w:i/>
          <w:iCs/>
          <w:u w:color="3D3D3D"/>
          <w:lang w:val="es-ES_tradnl"/>
        </w:rPr>
        <w:t>te promuj</w:t>
      </w:r>
      <w:r>
        <w:rPr>
          <w:rFonts w:ascii="Arial" w:hAnsi="Arial"/>
          <w:i/>
          <w:iCs/>
          <w:u w:color="3D3D3D"/>
        </w:rPr>
        <w:t>ące dialog i współpracę                                z administracją skarbową. To wszystko po to, by zarządzanie przedsiębiorstwem, w tym coraz bardziej kompleksowym i złożonym, niestabilnym, niejednoznacznym i nielinearnym otoczeniu, było prostsze. By procesy decyzyjne, planowania i analiz były łatwiejsze                       i obarczone jak najmniejszą ilością błęd</w:t>
      </w:r>
      <w:r>
        <w:rPr>
          <w:rFonts w:ascii="Arial" w:hAnsi="Arial"/>
          <w:i/>
          <w:iCs/>
          <w:u w:color="3D3D3D"/>
          <w:lang w:val="es-ES_tradnl"/>
        </w:rPr>
        <w:t>ó</w:t>
      </w:r>
      <w:r>
        <w:rPr>
          <w:rFonts w:ascii="Arial" w:hAnsi="Arial"/>
          <w:i/>
          <w:iCs/>
          <w:u w:color="3D3D3D"/>
        </w:rPr>
        <w:t>w, związanych z niepewnymi założeniami. - m</w:t>
      </w:r>
      <w:r>
        <w:rPr>
          <w:rFonts w:ascii="Arial" w:hAnsi="Arial"/>
          <w:i/>
          <w:iCs/>
          <w:u w:color="3D3D3D"/>
          <w:lang w:val="es-ES_tradnl"/>
        </w:rPr>
        <w:t>ó</w:t>
      </w:r>
      <w:r>
        <w:rPr>
          <w:rFonts w:ascii="Arial" w:hAnsi="Arial"/>
          <w:i/>
          <w:iCs/>
          <w:u w:color="3D3D3D"/>
        </w:rPr>
        <w:t xml:space="preserve">wił </w:t>
      </w:r>
      <w:r>
        <w:rPr>
          <w:rFonts w:ascii="Arial" w:hAnsi="Arial"/>
          <w:b/>
          <w:bCs/>
          <w:i/>
          <w:iCs/>
          <w:u w:color="3D3D3D"/>
        </w:rPr>
        <w:t>dr Jacek Goliszewski, prezes BCC.</w:t>
      </w:r>
    </w:p>
    <w:p w14:paraId="709CDC2C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Eksperci BCC podkreślali, że </w:t>
      </w:r>
      <w:r>
        <w:rPr>
          <w:rFonts w:ascii="Arial" w:hAnsi="Arial"/>
          <w:i/>
          <w:iCs/>
        </w:rPr>
        <w:t xml:space="preserve"> d</w:t>
      </w:r>
      <w:r>
        <w:rPr>
          <w:rFonts w:ascii="Arial" w:hAnsi="Arial"/>
        </w:rPr>
        <w:t>obry system podatkowy pełni nie tylko funkcję fiskalną, ale ma także kluczowe znaczenie dla podejmowania ryzyka i wspierania inwestycji przez przedsiębiorc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re są od wielu lat na </w:t>
      </w:r>
      <w:r>
        <w:rPr>
          <w:rFonts w:ascii="Arial" w:hAnsi="Arial"/>
          <w:u w:color="FF0000"/>
        </w:rPr>
        <w:t>krytycznie</w:t>
      </w:r>
      <w:r>
        <w:rPr>
          <w:rFonts w:ascii="Arial" w:hAnsi="Arial"/>
        </w:rPr>
        <w:t xml:space="preserve"> niskim poziomie. </w:t>
      </w:r>
    </w:p>
    <w:p w14:paraId="4CB77DAB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de-DE"/>
        </w:rPr>
        <w:t>Micha</w:t>
      </w:r>
      <w:r>
        <w:rPr>
          <w:rFonts w:ascii="Arial" w:hAnsi="Arial"/>
          <w:b/>
          <w:bCs/>
          <w:shd w:val="clear" w:color="auto" w:fill="FFFFFF"/>
        </w:rPr>
        <w:t>ł Borowski, przewodniczący Komisji Podatkowej BCC</w:t>
      </w:r>
      <w:r>
        <w:rPr>
          <w:rFonts w:ascii="Arial" w:hAnsi="Arial"/>
          <w:shd w:val="clear" w:color="auto" w:fill="FFFFFF"/>
        </w:rPr>
        <w:t xml:space="preserve"> streścił 12 zagadnień uwzględnionych w projekcie</w:t>
      </w:r>
      <w:r>
        <w:rPr>
          <w:rFonts w:ascii="Arial" w:hAnsi="Arial"/>
          <w:b/>
          <w:bCs/>
          <w:shd w:val="clear" w:color="auto" w:fill="FFFFFF"/>
        </w:rPr>
        <w:t xml:space="preserve"> Dużej Reformy Podatkowej.</w:t>
      </w:r>
    </w:p>
    <w:p w14:paraId="365CE25D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i/>
          <w:iCs/>
          <w:u w:color="3D3D3D"/>
        </w:rPr>
      </w:pPr>
      <w:r>
        <w:rPr>
          <w:rFonts w:ascii="Arial" w:hAnsi="Arial"/>
          <w:b/>
          <w:bCs/>
          <w:u w:val="single" w:color="3D3D3D"/>
        </w:rPr>
        <w:t>Kluczowe postulaty BCC dotyczą zwr</w:t>
      </w:r>
      <w:r>
        <w:rPr>
          <w:rFonts w:ascii="Arial" w:hAnsi="Arial"/>
          <w:b/>
          <w:bCs/>
          <w:u w:val="single" w:color="3D3D3D"/>
          <w:lang w:val="es-ES_tradnl"/>
        </w:rPr>
        <w:t>ó</w:t>
      </w:r>
      <w:r>
        <w:rPr>
          <w:rFonts w:ascii="Arial" w:hAnsi="Arial"/>
          <w:b/>
          <w:bCs/>
          <w:u w:val="single" w:color="3D3D3D"/>
        </w:rPr>
        <w:t>cenia uwagi na następują</w:t>
      </w:r>
      <w:r>
        <w:rPr>
          <w:rFonts w:ascii="Arial" w:hAnsi="Arial"/>
          <w:b/>
          <w:bCs/>
          <w:u w:val="single" w:color="3D3D3D"/>
          <w:lang w:val="nl-NL"/>
        </w:rPr>
        <w:t>ce kwestie:</w:t>
      </w:r>
      <w:r>
        <w:rPr>
          <w:rFonts w:ascii="Arial" w:hAnsi="Arial"/>
          <w:i/>
          <w:iCs/>
          <w:u w:color="3D3D3D"/>
        </w:rPr>
        <w:t xml:space="preserve">      </w:t>
      </w:r>
    </w:p>
    <w:p w14:paraId="2464CA13" w14:textId="77777777" w:rsidR="008163C1" w:rsidRDefault="00627127">
      <w:pPr>
        <w:pStyle w:val="DomylneA"/>
        <w:numPr>
          <w:ilvl w:val="0"/>
          <w:numId w:val="3"/>
        </w:numPr>
        <w:suppressAutoHyphens/>
        <w:spacing w:line="264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  <w:u w:color="3D3D3D"/>
        </w:rPr>
        <w:lastRenderedPageBreak/>
        <w:t>Radykalne zmniejszenie obowiązk</w:t>
      </w:r>
      <w:r>
        <w:rPr>
          <w:rFonts w:ascii="Arial" w:hAnsi="Arial"/>
          <w:b/>
          <w:bCs/>
          <w:u w:color="3D3D3D"/>
          <w:lang w:val="es-ES_tradnl"/>
        </w:rPr>
        <w:t>ó</w:t>
      </w:r>
      <w:r>
        <w:rPr>
          <w:rFonts w:ascii="Arial" w:hAnsi="Arial"/>
          <w:b/>
          <w:bCs/>
          <w:u w:color="3D3D3D"/>
        </w:rPr>
        <w:t>w sprawozdawczych po wprowadzeniu JPK_CIT  i KSeF</w:t>
      </w:r>
    </w:p>
    <w:p w14:paraId="49A90EE6" w14:textId="77777777" w:rsidR="008163C1" w:rsidRDefault="008163C1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u w:color="3D3D3D"/>
        </w:rPr>
      </w:pPr>
    </w:p>
    <w:p w14:paraId="75AD58C8" w14:textId="77777777" w:rsidR="008163C1" w:rsidRDefault="00627127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BCC postuluje, między innymi, o sformułowanie wytycznych w zakresie sposobu wykazywania w plikach JPK-KR transakcji ujmowanych w księgach pomocniczych oraz podanie, jako rozwiązania alternatywnych możliwości, wykazania transakcji zawartych                  w księgach/rejestrach pomocniczych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zbiorczy.</w:t>
      </w:r>
    </w:p>
    <w:p w14:paraId="1633D896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b/>
          <w:bCs/>
          <w:sz w:val="22"/>
          <w:szCs w:val="22"/>
          <w:u w:color="212121"/>
        </w:rPr>
      </w:pPr>
      <w:r>
        <w:rPr>
          <w:rFonts w:ascii="Arial" w:hAnsi="Arial"/>
          <w:b/>
          <w:bCs/>
          <w:sz w:val="22"/>
          <w:szCs w:val="22"/>
          <w:u w:color="212121"/>
        </w:rPr>
        <w:t>- Gruntowna rewizja i usp</w:t>
      </w:r>
      <w:r>
        <w:rPr>
          <w:rFonts w:ascii="Arial" w:hAnsi="Arial"/>
          <w:b/>
          <w:b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u w:color="212121"/>
        </w:rPr>
        <w:t>jnienie systemu ulg i benefit</w:t>
      </w:r>
      <w:r>
        <w:rPr>
          <w:rFonts w:ascii="Arial" w:hAnsi="Arial"/>
          <w:b/>
          <w:b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u w:color="212121"/>
        </w:rPr>
        <w:t>w podatkowych</w:t>
      </w:r>
    </w:p>
    <w:p w14:paraId="5E08A392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sz w:val="22"/>
          <w:szCs w:val="22"/>
          <w:u w:color="212121"/>
        </w:rPr>
      </w:pPr>
      <w:r>
        <w:rPr>
          <w:rFonts w:ascii="Arial" w:hAnsi="Arial"/>
          <w:sz w:val="22"/>
          <w:szCs w:val="22"/>
          <w:u w:color="212121"/>
        </w:rPr>
        <w:t>BCC apeluje o zwr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cenie uwagi na ich zasadność</w:t>
      </w:r>
      <w:r>
        <w:rPr>
          <w:rFonts w:ascii="Arial" w:hAnsi="Arial"/>
          <w:sz w:val="22"/>
          <w:szCs w:val="22"/>
          <w:u w:color="212121"/>
          <w:lang w:val="it-IT"/>
        </w:rPr>
        <w:t xml:space="preserve">, </w:t>
      </w:r>
      <w:r>
        <w:rPr>
          <w:rFonts w:ascii="Arial" w:hAnsi="Arial"/>
          <w:sz w:val="22"/>
          <w:szCs w:val="22"/>
          <w:u w:color="212121"/>
        </w:rPr>
        <w:t xml:space="preserve">skutki dla budżetu, zakres zastosowania </w:t>
      </w:r>
      <w:r>
        <w:rPr>
          <w:rFonts w:ascii="Arial" w:hAnsi="Arial"/>
          <w:sz w:val="22"/>
          <w:szCs w:val="22"/>
          <w:u w:color="212121"/>
          <w:lang w:val="it-IT"/>
        </w:rPr>
        <w:t xml:space="preserve"> i cel</w:t>
      </w:r>
      <w:r>
        <w:rPr>
          <w:rFonts w:ascii="Arial" w:hAnsi="Arial"/>
          <w:sz w:val="22"/>
          <w:szCs w:val="22"/>
          <w:u w:color="212121"/>
          <w:lang w:val="es-ES_tradnl"/>
        </w:rPr>
        <w:t>e</w:t>
      </w:r>
      <w:r>
        <w:rPr>
          <w:rFonts w:ascii="Arial" w:hAnsi="Arial"/>
          <w:sz w:val="22"/>
          <w:szCs w:val="22"/>
          <w:u w:color="212121"/>
        </w:rPr>
        <w:t xml:space="preserve"> jakim służą oraz zwraca uwagę, że zmniejszenie punktowych ulg może też pom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c                    w stworzeniu przestrzeni dla obniżenia podatk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w.</w:t>
      </w:r>
    </w:p>
    <w:p w14:paraId="0C77F0E8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sz w:val="22"/>
          <w:szCs w:val="22"/>
          <w:u w:color="212121"/>
        </w:rPr>
      </w:pPr>
      <w:r>
        <w:rPr>
          <w:rFonts w:ascii="Arial" w:hAnsi="Arial"/>
          <w:b/>
          <w:bCs/>
          <w:sz w:val="22"/>
          <w:szCs w:val="22"/>
          <w:u w:color="212121"/>
        </w:rPr>
        <w:t>- Rewizja matrycy obniżonych stawek VAT i zasad ich stosowania na rzecz bardziej przejrzystego i prostszego systemu, zgodnego z regulacjami UE</w:t>
      </w:r>
    </w:p>
    <w:p w14:paraId="7061B817" w14:textId="77777777" w:rsidR="008163C1" w:rsidRDefault="00627127">
      <w:pPr>
        <w:numPr>
          <w:ilvl w:val="0"/>
          <w:numId w:val="4"/>
        </w:numPr>
        <w:suppressAutoHyphens/>
        <w:spacing w:before="120" w:after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212121"/>
        </w:rPr>
        <w:t>Gruntowna rewizja Ordynacji podatkowej na rzecz szybszych procedur i „r</w:t>
      </w:r>
      <w:r>
        <w:rPr>
          <w:rFonts w:ascii="Arial" w:hAnsi="Arial"/>
          <w:b/>
          <w:b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u w:color="212121"/>
        </w:rPr>
        <w:t>wności broni” w relacji fiskus – podatnik</w:t>
      </w:r>
    </w:p>
    <w:p w14:paraId="6FE032F4" w14:textId="77777777" w:rsidR="008163C1" w:rsidRDefault="00627127">
      <w:pPr>
        <w:numPr>
          <w:ilvl w:val="0"/>
          <w:numId w:val="5"/>
        </w:numPr>
        <w:suppressAutoHyphens/>
        <w:spacing w:before="120" w:after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212121"/>
        </w:rPr>
        <w:t>Zmiana systemu nadzoru nad pracą urzędnik</w:t>
      </w:r>
      <w:r>
        <w:rPr>
          <w:rFonts w:ascii="Arial" w:hAnsi="Arial"/>
          <w:b/>
          <w:b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u w:color="212121"/>
        </w:rPr>
        <w:t xml:space="preserve">w Krajowej Administracji Skarbowej  </w:t>
      </w:r>
    </w:p>
    <w:p w14:paraId="070FAA5D" w14:textId="77777777" w:rsidR="008163C1" w:rsidRDefault="00627127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Patrząc na 2024 r., poza wspomnianymi już porządkami w systemie podatkowym, należałoby zwr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cić w pierwszej kolejności uwagę na konieczność rzeczywistej </w:t>
      </w:r>
      <w:r>
        <w:rPr>
          <w:rFonts w:ascii="Arial" w:hAnsi="Arial"/>
          <w:sz w:val="22"/>
          <w:szCs w:val="22"/>
        </w:rPr>
        <w:t>trwałej zmiany mentalności i podejścia urzędnik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do podatnik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ale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wnież wyposażenie ich w narzędzia do transparentnego prowadzenia dialogu i mediacji z podatnikami - nawet w trudnych sprawach oraz dokonywania w tym względzie wiążących ustaleń. - podkreślali </w:t>
      </w:r>
      <w:r>
        <w:rPr>
          <w:rFonts w:ascii="Arial" w:hAnsi="Arial"/>
          <w:b/>
          <w:bCs/>
          <w:sz w:val="22"/>
          <w:szCs w:val="22"/>
          <w:lang w:val="de-DE"/>
        </w:rPr>
        <w:t>Micha</w:t>
      </w:r>
      <w:r>
        <w:rPr>
          <w:rFonts w:ascii="Arial" w:hAnsi="Arial"/>
          <w:b/>
          <w:bCs/>
          <w:sz w:val="22"/>
          <w:szCs w:val="22"/>
        </w:rPr>
        <w:t xml:space="preserve">ł Borowski przewodniczący Komisji Podatkowej BCC. </w:t>
      </w:r>
    </w:p>
    <w:p w14:paraId="7F075EAA" w14:textId="77777777" w:rsidR="008163C1" w:rsidRDefault="00627127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Taka zmiana, p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  <w:lang w:val="it-IT"/>
        </w:rPr>
        <w:t>ki co, nast</w:t>
      </w:r>
      <w:r>
        <w:rPr>
          <w:rFonts w:ascii="Arial" w:hAnsi="Arial"/>
          <w:i/>
          <w:iCs/>
          <w:sz w:val="22"/>
          <w:szCs w:val="22"/>
        </w:rPr>
        <w:t>ępuje bardzo powoli – a wybiegi skarb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wki, chociażby związane                               z instrumentalnym wszczynaniem postępowań karno-skarbowych, blokadami rachunk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bankowych, czy niekończącymi się kontrolami i wstrzymywaniem zwrot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VAT na pewno tego pozytywnego obrazu nie budują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Warto rozpocząć prawdziwy dialog z przedsiębiorcami – i tymi najmniejszymi i tymi naprawdę dużymi – aby wprowadzane zmiany w systemie podatkowym oraz w sposobie stosowania prawa podatkowego przyczyniały się do rozwoju naszej gospodarki i firm</w:t>
      </w:r>
      <w:r>
        <w:rPr>
          <w:rFonts w:ascii="Arial" w:hAnsi="Arial"/>
          <w:sz w:val="22"/>
          <w:szCs w:val="22"/>
        </w:rPr>
        <w:t xml:space="preserve">. - dodał </w:t>
      </w:r>
      <w:r>
        <w:rPr>
          <w:rFonts w:ascii="Arial" w:hAnsi="Arial"/>
          <w:b/>
          <w:bCs/>
          <w:sz w:val="22"/>
          <w:szCs w:val="22"/>
        </w:rPr>
        <w:t>ekspert BCC</w:t>
      </w:r>
      <w:r>
        <w:rPr>
          <w:rFonts w:ascii="Arial" w:hAnsi="Arial"/>
          <w:sz w:val="22"/>
          <w:szCs w:val="22"/>
        </w:rPr>
        <w:t>.</w:t>
      </w:r>
    </w:p>
    <w:p w14:paraId="58C79864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color="212121"/>
        </w:rPr>
        <w:t>Przedstawiciele BCC zwracają uwagę, że</w:t>
      </w:r>
      <w:r>
        <w:rPr>
          <w:rFonts w:ascii="Arial" w:hAnsi="Arial"/>
          <w:b/>
          <w:bCs/>
          <w:sz w:val="22"/>
          <w:szCs w:val="22"/>
          <w:u w:color="212121"/>
        </w:rPr>
        <w:t xml:space="preserve"> </w:t>
      </w:r>
      <w:r>
        <w:rPr>
          <w:rFonts w:ascii="Arial" w:hAnsi="Arial"/>
          <w:sz w:val="22"/>
          <w:szCs w:val="22"/>
          <w:u w:color="212121"/>
        </w:rPr>
        <w:t>urzędnik nie może bać się podejmowania decyzji korzystnych dla podatnika, jeś</w:t>
      </w:r>
      <w:r>
        <w:rPr>
          <w:rFonts w:ascii="Arial" w:hAnsi="Arial"/>
          <w:sz w:val="22"/>
          <w:szCs w:val="22"/>
          <w:u w:color="212121"/>
          <w:lang w:val="it-IT"/>
        </w:rPr>
        <w:t>li s</w:t>
      </w:r>
      <w:r>
        <w:rPr>
          <w:rFonts w:ascii="Arial" w:hAnsi="Arial"/>
          <w:sz w:val="22"/>
          <w:szCs w:val="22"/>
          <w:u w:color="212121"/>
        </w:rPr>
        <w:t>ą uzasadnione merytorycznie, ani też traktować podatnika jak potencjalnego przestę</w:t>
      </w:r>
      <w:r>
        <w:rPr>
          <w:rFonts w:ascii="Arial" w:hAnsi="Arial"/>
          <w:sz w:val="22"/>
          <w:szCs w:val="22"/>
          <w:u w:color="212121"/>
          <w:lang w:val="es-ES_tradnl"/>
        </w:rPr>
        <w:t>pc</w:t>
      </w:r>
      <w:r>
        <w:rPr>
          <w:rFonts w:ascii="Arial" w:hAnsi="Arial"/>
          <w:sz w:val="22"/>
          <w:szCs w:val="22"/>
          <w:u w:color="212121"/>
        </w:rPr>
        <w:t>ę.</w:t>
      </w:r>
    </w:p>
    <w:p w14:paraId="7C2E1F3F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b/>
          <w:bCs/>
          <w:sz w:val="22"/>
          <w:szCs w:val="22"/>
          <w:u w:color="212121"/>
        </w:rPr>
      </w:pPr>
      <w:r>
        <w:rPr>
          <w:rFonts w:ascii="Arial" w:hAnsi="Arial"/>
          <w:sz w:val="22"/>
          <w:szCs w:val="22"/>
          <w:u w:color="212121"/>
        </w:rPr>
        <w:t>BCC zaapelowało także o znacznie szersze oparcie się o rozwiązania typu Cooperative Compliance, w tym o dalszy rozw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 xml:space="preserve">j </w:t>
      </w:r>
      <w:r>
        <w:rPr>
          <w:rFonts w:ascii="Arial" w:hAnsi="Arial"/>
          <w:b/>
          <w:bCs/>
          <w:sz w:val="22"/>
          <w:szCs w:val="22"/>
          <w:u w:color="212121"/>
        </w:rPr>
        <w:t>Programu Współdziałania.</w:t>
      </w:r>
    </w:p>
    <w:p w14:paraId="1071BBCF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sz w:val="22"/>
          <w:szCs w:val="22"/>
          <w:u w:color="212121"/>
        </w:rPr>
      </w:pPr>
      <w:r>
        <w:rPr>
          <w:rFonts w:ascii="Arial" w:hAnsi="Arial"/>
          <w:b/>
          <w:bCs/>
          <w:sz w:val="22"/>
          <w:szCs w:val="22"/>
          <w:u w:color="212121"/>
          <w:lang w:val="ru-RU"/>
        </w:rPr>
        <w:t xml:space="preserve">- </w:t>
      </w:r>
      <w:r>
        <w:rPr>
          <w:rFonts w:ascii="Arial" w:hAnsi="Arial"/>
          <w:i/>
          <w:iCs/>
          <w:sz w:val="22"/>
          <w:szCs w:val="22"/>
          <w:u w:color="212121"/>
        </w:rPr>
        <w:t>Takie długofalowe działania stanowią strategiczny kierunek dla zr</w:t>
      </w:r>
      <w:r>
        <w:rPr>
          <w:rFonts w:ascii="Arial" w:hAnsi="Arial"/>
          <w:i/>
          <w:i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  <w:u w:color="212121"/>
        </w:rPr>
        <w:t xml:space="preserve">wnoważonego rozwoju systemu podatkowego nowoczesnej gospodarki rynkowej i są </w:t>
      </w:r>
      <w:r w:rsidRPr="00446724">
        <w:rPr>
          <w:rFonts w:ascii="Arial" w:hAnsi="Arial"/>
          <w:i/>
          <w:iCs/>
          <w:sz w:val="22"/>
          <w:szCs w:val="22"/>
          <w:u w:color="212121"/>
        </w:rPr>
        <w:t>form</w:t>
      </w:r>
      <w:r>
        <w:rPr>
          <w:rFonts w:ascii="Arial" w:hAnsi="Arial"/>
          <w:i/>
          <w:iCs/>
          <w:sz w:val="22"/>
          <w:szCs w:val="22"/>
          <w:u w:color="212121"/>
        </w:rPr>
        <w:t>ą wspierania przedsiębiorczości poprzez dopuszczanie ido udziału w programie kolejnych kandydat</w:t>
      </w:r>
      <w:r>
        <w:rPr>
          <w:rFonts w:ascii="Arial" w:hAnsi="Arial"/>
          <w:i/>
          <w:iCs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  <w:u w:color="212121"/>
        </w:rPr>
        <w:t xml:space="preserve">w oraz popularyzowanie jego idei. </w:t>
      </w:r>
      <w:r>
        <w:rPr>
          <w:rFonts w:ascii="Arial" w:hAnsi="Arial"/>
          <w:sz w:val="22"/>
          <w:szCs w:val="22"/>
          <w:u w:color="212121"/>
        </w:rPr>
        <w:t>- podkreślał</w:t>
      </w:r>
      <w:r>
        <w:rPr>
          <w:rFonts w:ascii="Arial" w:hAnsi="Arial"/>
          <w:b/>
          <w:bCs/>
          <w:sz w:val="22"/>
          <w:szCs w:val="22"/>
          <w:u w:color="212121"/>
        </w:rPr>
        <w:t xml:space="preserve"> dr Jacek Goliszewski, prezes BCC.</w:t>
      </w:r>
    </w:p>
    <w:p w14:paraId="763EBADB" w14:textId="77777777" w:rsidR="008163C1" w:rsidRDefault="00627127">
      <w:pPr>
        <w:suppressAutoHyphens/>
        <w:spacing w:before="120" w:after="120" w:line="264" w:lineRule="auto"/>
        <w:jc w:val="both"/>
        <w:rPr>
          <w:rFonts w:ascii="Arial" w:eastAsia="Arial" w:hAnsi="Arial" w:cs="Arial"/>
          <w:sz w:val="22"/>
          <w:szCs w:val="22"/>
          <w:u w:color="212121"/>
        </w:rPr>
      </w:pPr>
      <w:r>
        <w:rPr>
          <w:rFonts w:ascii="Arial" w:hAnsi="Arial"/>
          <w:b/>
          <w:bCs/>
          <w:sz w:val="22"/>
          <w:szCs w:val="22"/>
          <w:u w:color="212121"/>
          <w:lang w:val="de-DE"/>
        </w:rPr>
        <w:t>Micha</w:t>
      </w:r>
      <w:r>
        <w:rPr>
          <w:rFonts w:ascii="Arial" w:hAnsi="Arial"/>
          <w:b/>
          <w:bCs/>
          <w:sz w:val="22"/>
          <w:szCs w:val="22"/>
          <w:u w:color="212121"/>
        </w:rPr>
        <w:t xml:space="preserve">ł Borowski </w:t>
      </w:r>
      <w:r>
        <w:rPr>
          <w:rFonts w:ascii="Arial" w:hAnsi="Arial"/>
          <w:sz w:val="22"/>
          <w:szCs w:val="22"/>
          <w:u w:color="212121"/>
        </w:rPr>
        <w:t>zwr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cił uwagę, że szczegółowe postulaty BCC ujęte w przekazanym ministerstwu dokumencie dotyczą obszar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w obecnego systemu podatkowego, takich jak:</w:t>
      </w:r>
      <w:r>
        <w:rPr>
          <w:rFonts w:ascii="Arial" w:hAnsi="Arial"/>
          <w:sz w:val="22"/>
          <w:szCs w:val="22"/>
          <w:u w:color="212121"/>
          <w:lang w:val="da-DK"/>
        </w:rPr>
        <w:t xml:space="preserve"> sk</w:t>
      </w:r>
      <w:r>
        <w:rPr>
          <w:rFonts w:ascii="Arial" w:hAnsi="Arial"/>
          <w:sz w:val="22"/>
          <w:szCs w:val="22"/>
          <w:u w:color="212121"/>
        </w:rPr>
        <w:t>ładka na ubezpieczenie zdrowotne, podatek  u źr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dła, raportowanie JPK_KR, zmiany                w Polskiej Strefie Inwestycji, implementacja dyrektywy UE w zakresie globalnego podatku minimalnego oraz zmiany w podatku od nieruchomości, kt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re niezależnie od reformy systemu podatkowego powinny zostać uwzględnione po to, by zaadresować najpilniejsze potrzeby i wyzwania podatnik</w:t>
      </w:r>
      <w:r>
        <w:rPr>
          <w:rFonts w:ascii="Arial" w:hAnsi="Arial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sz w:val="22"/>
          <w:szCs w:val="22"/>
          <w:u w:color="212121"/>
        </w:rPr>
        <w:t>w.</w:t>
      </w:r>
    </w:p>
    <w:p w14:paraId="5F934869" w14:textId="77777777" w:rsidR="008163C1" w:rsidRDefault="006271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lastRenderedPageBreak/>
        <w:t xml:space="preserve">Minister Domański </w:t>
      </w:r>
      <w:r>
        <w:rPr>
          <w:rFonts w:ascii="Arial" w:hAnsi="Arial"/>
          <w:shd w:val="clear" w:color="auto" w:fill="FFFFFF"/>
        </w:rPr>
        <w:t>potwierdził, że Ministerstwo Finans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 ma świadomość, że system podatkowy w Polsce jest nieefektywny i że jest otwarte na dialog ze stroną przedsiębiorc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 Jak zapewnił, jego resort będzie organizatorem dyskusji dedykowanych tym kwestiom.</w:t>
      </w:r>
    </w:p>
    <w:p w14:paraId="304DD0DE" w14:textId="77777777" w:rsidR="008163C1" w:rsidRDefault="008163C1">
      <w:pPr>
        <w:spacing w:line="253" w:lineRule="atLeast"/>
        <w:jc w:val="both"/>
        <w:rPr>
          <w:rFonts w:ascii="Arial" w:eastAsia="Arial" w:hAnsi="Arial" w:cs="Arial"/>
        </w:rPr>
      </w:pPr>
    </w:p>
    <w:p w14:paraId="34529DA1" w14:textId="04799A52" w:rsidR="008163C1" w:rsidRPr="00446724" w:rsidRDefault="00446724">
      <w:pPr>
        <w:spacing w:line="253" w:lineRule="atLeast"/>
        <w:jc w:val="both"/>
        <w:rPr>
          <w:rFonts w:ascii="Arial" w:eastAsia="Arial" w:hAnsi="Arial" w:cs="Arial"/>
          <w:b/>
          <w:bCs/>
          <w:color w:val="C00000"/>
          <w:sz w:val="24"/>
          <w:szCs w:val="24"/>
        </w:rPr>
      </w:pPr>
      <w:hyperlink r:id="rId8" w:history="1">
        <w:r w:rsidRPr="00446724">
          <w:rPr>
            <w:rStyle w:val="Hipercze"/>
            <w:rFonts w:ascii="Arial" w:eastAsia="Arial" w:hAnsi="Arial" w:cs="Arial"/>
            <w:b/>
            <w:bCs/>
            <w:color w:val="C00000"/>
            <w:sz w:val="24"/>
            <w:szCs w:val="24"/>
          </w:rPr>
          <w:t>Zapoznaj się z Dużą Reformą Podatkową &gt;&gt;</w:t>
        </w:r>
      </w:hyperlink>
    </w:p>
    <w:p w14:paraId="6076002E" w14:textId="77777777" w:rsidR="008163C1" w:rsidRDefault="008163C1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9F1C49F" w14:textId="77777777" w:rsidR="008163C1" w:rsidRDefault="008163C1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3B10CE6B" w14:textId="77777777" w:rsidR="008163C1" w:rsidRDefault="00627127">
      <w:pPr>
        <w:spacing w:line="253" w:lineRule="atLeast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>Kontakt do eksperta:</w:t>
      </w:r>
    </w:p>
    <w:p w14:paraId="0ECBC3BA" w14:textId="77777777" w:rsidR="008163C1" w:rsidRDefault="00627127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Micha</w:t>
      </w:r>
      <w:r>
        <w:rPr>
          <w:rFonts w:ascii="Arial" w:hAnsi="Arial"/>
          <w:sz w:val="18"/>
          <w:szCs w:val="18"/>
        </w:rPr>
        <w:t>ł Borowski: michal.borowski@bcc.org.pl</w:t>
      </w:r>
    </w:p>
    <w:p w14:paraId="3A207CC7" w14:textId="77777777" w:rsidR="008163C1" w:rsidRDefault="008163C1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B5FBFB4" w14:textId="77777777" w:rsidR="008163C1" w:rsidRDefault="008163C1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734A14F5" w14:textId="77777777" w:rsidR="008163C1" w:rsidRDefault="00627127">
      <w:pPr>
        <w:spacing w:line="253" w:lineRule="atLeast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>Kontakt dla medi</w:t>
      </w:r>
      <w:r>
        <w:rPr>
          <w:rFonts w:ascii="Arial" w:hAnsi="Arial"/>
          <w:b/>
          <w:b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  <w:u w:val="single"/>
        </w:rPr>
        <w:t>w:</w:t>
      </w:r>
    </w:p>
    <w:p w14:paraId="7C130086" w14:textId="77777777" w:rsidR="008163C1" w:rsidRDefault="008163C1">
      <w:pPr>
        <w:spacing w:line="253" w:lineRule="atLeast"/>
        <w:jc w:val="both"/>
        <w:rPr>
          <w:rStyle w:val="BrakA"/>
          <w:sz w:val="18"/>
          <w:szCs w:val="18"/>
        </w:rPr>
      </w:pPr>
    </w:p>
    <w:p w14:paraId="000808E6" w14:textId="77777777" w:rsidR="008163C1" w:rsidRDefault="00627127">
      <w:pPr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Agencja Open Minded Group: </w:t>
      </w:r>
      <w:hyperlink r:id="rId9" w:history="1">
        <w:r>
          <w:rPr>
            <w:rStyle w:val="Hyperlink0"/>
          </w:rPr>
          <w:t>pr@openmindedgroup.pl</w:t>
        </w:r>
      </w:hyperlink>
    </w:p>
    <w:p w14:paraId="4F4A088A" w14:textId="77777777" w:rsidR="008163C1" w:rsidRDefault="00627127">
      <w:pPr>
        <w:spacing w:after="200"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 xml:space="preserve">Renata Stefanowska: </w:t>
      </w:r>
      <w:hyperlink r:id="rId10" w:history="1">
        <w:r>
          <w:rPr>
            <w:rStyle w:val="Hyperlink1"/>
          </w:rPr>
          <w:t>renata.stefanowska@bcc.pl</w:t>
        </w:r>
      </w:hyperlink>
    </w:p>
    <w:p w14:paraId="66367DAF" w14:textId="77777777" w:rsidR="008163C1" w:rsidRDefault="008163C1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53808B19" w14:textId="77777777" w:rsidR="008163C1" w:rsidRDefault="008163C1">
      <w:pPr>
        <w:spacing w:line="253" w:lineRule="atLeast"/>
        <w:jc w:val="both"/>
        <w:rPr>
          <w:rStyle w:val="Brak"/>
          <w:sz w:val="16"/>
          <w:szCs w:val="16"/>
          <w:u w:color="800080"/>
        </w:rPr>
      </w:pPr>
    </w:p>
    <w:p w14:paraId="056526D6" w14:textId="77777777" w:rsidR="008163C1" w:rsidRDefault="008163C1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148F90AC" w14:textId="77777777" w:rsidR="008163C1" w:rsidRDefault="008163C1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62ADE169" w14:textId="77777777" w:rsidR="008163C1" w:rsidRDefault="008163C1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43AD6B8F" w14:textId="77777777" w:rsidR="008163C1" w:rsidRDefault="00627127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6256FB81" wp14:editId="3DFB7139">
            <wp:simplePos x="0" y="0"/>
            <wp:positionH relativeFrom="page">
              <wp:posOffset>874394</wp:posOffset>
            </wp:positionH>
            <wp:positionV relativeFrom="line">
              <wp:posOffset>60960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Arial" w:hAnsi="Arial"/>
          <w:sz w:val="16"/>
          <w:szCs w:val="16"/>
        </w:rPr>
        <w:t>Business Centre Club to największa w kraju ustawowa organizacja indywidualnych pracodawc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6F0434CC" w14:textId="77777777" w:rsidR="008163C1" w:rsidRDefault="008163C1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0F6A6CE0" w14:textId="77777777" w:rsidR="008163C1" w:rsidRDefault="00627127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2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4" w:history="1">
        <w:r>
          <w:rPr>
            <w:rStyle w:val="Hyperlink3"/>
          </w:rPr>
          <w:t>X &gt;</w:t>
        </w:r>
      </w:hyperlink>
    </w:p>
    <w:sectPr w:rsidR="008163C1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E58D" w14:textId="77777777" w:rsidR="00627127" w:rsidRDefault="00627127">
      <w:r>
        <w:separator/>
      </w:r>
    </w:p>
  </w:endnote>
  <w:endnote w:type="continuationSeparator" w:id="0">
    <w:p w14:paraId="13C375D1" w14:textId="77777777" w:rsidR="00627127" w:rsidRDefault="0062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CB80" w14:textId="77777777" w:rsidR="008163C1" w:rsidRDefault="008163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53C9" w14:textId="77777777" w:rsidR="00627127" w:rsidRDefault="00627127">
      <w:r>
        <w:separator/>
      </w:r>
    </w:p>
  </w:footnote>
  <w:footnote w:type="continuationSeparator" w:id="0">
    <w:p w14:paraId="4AC71A0B" w14:textId="77777777" w:rsidR="00627127" w:rsidRDefault="0062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F444" w14:textId="77777777" w:rsidR="008163C1" w:rsidRDefault="008163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F1A6B"/>
    <w:multiLevelType w:val="hybridMultilevel"/>
    <w:tmpl w:val="CB3075D4"/>
    <w:numStyleLink w:val="Punktory"/>
  </w:abstractNum>
  <w:abstractNum w:abstractNumId="1" w15:restartNumberingAfterBreak="0">
    <w:nsid w:val="62023131"/>
    <w:multiLevelType w:val="hybridMultilevel"/>
    <w:tmpl w:val="CB3075D4"/>
    <w:styleLink w:val="Punktory"/>
    <w:lvl w:ilvl="0" w:tplc="D35E68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08" w:hanging="20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AB35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C2D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E83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0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E6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413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86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8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64A9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8355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10" w:hanging="21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7847929">
    <w:abstractNumId w:val="1"/>
  </w:num>
  <w:num w:numId="2" w16cid:durableId="537209455">
    <w:abstractNumId w:val="0"/>
  </w:num>
  <w:num w:numId="3" w16cid:durableId="93979676">
    <w:abstractNumId w:val="0"/>
    <w:lvlOverride w:ilvl="0">
      <w:lvl w:ilvl="0" w:tplc="BC50018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9" w:hanging="18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890A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CFBE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823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249B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06ECD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2AA8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E6F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0F85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91" w:hanging="1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91520446">
    <w:abstractNumId w:val="0"/>
    <w:lvlOverride w:ilvl="0">
      <w:lvl w:ilvl="0" w:tplc="BC500188">
        <w:start w:val="1"/>
        <w:numFmt w:val="bullet"/>
        <w:lvlText w:val="-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890AC">
        <w:start w:val="1"/>
        <w:numFmt w:val="bullet"/>
        <w:lvlText w:val="-"/>
        <w:lvlJc w:val="left"/>
        <w:pPr>
          <w:ind w:left="7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CFBEE">
        <w:start w:val="1"/>
        <w:numFmt w:val="bullet"/>
        <w:lvlText w:val="-"/>
        <w:lvlJc w:val="left"/>
        <w:pPr>
          <w:ind w:left="13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8238C">
        <w:start w:val="1"/>
        <w:numFmt w:val="bullet"/>
        <w:lvlText w:val="-"/>
        <w:lvlJc w:val="left"/>
        <w:pPr>
          <w:ind w:left="19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249B80">
        <w:start w:val="1"/>
        <w:numFmt w:val="bullet"/>
        <w:lvlText w:val="-"/>
        <w:lvlJc w:val="left"/>
        <w:pPr>
          <w:ind w:left="25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06ECDE">
        <w:start w:val="1"/>
        <w:numFmt w:val="bullet"/>
        <w:lvlText w:val="-"/>
        <w:lvlJc w:val="left"/>
        <w:pPr>
          <w:ind w:left="31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2AA8A8">
        <w:start w:val="1"/>
        <w:numFmt w:val="bullet"/>
        <w:lvlText w:val="-"/>
        <w:lvlJc w:val="left"/>
        <w:pPr>
          <w:ind w:left="37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E6F22">
        <w:start w:val="1"/>
        <w:numFmt w:val="bullet"/>
        <w:lvlText w:val="-"/>
        <w:lvlJc w:val="left"/>
        <w:pPr>
          <w:ind w:left="43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0F856">
        <w:start w:val="1"/>
        <w:numFmt w:val="bullet"/>
        <w:lvlText w:val="-"/>
        <w:lvlJc w:val="left"/>
        <w:pPr>
          <w:ind w:left="49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49848377">
    <w:abstractNumId w:val="0"/>
    <w:lvlOverride w:ilvl="0">
      <w:lvl w:ilvl="0" w:tplc="BC500188">
        <w:start w:val="1"/>
        <w:numFmt w:val="bullet"/>
        <w:lvlText w:val="-"/>
        <w:lvlJc w:val="left"/>
        <w:pPr>
          <w:ind w:left="1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890AC">
        <w:start w:val="1"/>
        <w:numFmt w:val="bullet"/>
        <w:lvlText w:val="-"/>
        <w:lvlJc w:val="left"/>
        <w:pPr>
          <w:ind w:left="7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CFBEE">
        <w:start w:val="1"/>
        <w:numFmt w:val="bullet"/>
        <w:lvlText w:val="-"/>
        <w:lvlJc w:val="left"/>
        <w:pPr>
          <w:ind w:left="13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8238C">
        <w:start w:val="1"/>
        <w:numFmt w:val="bullet"/>
        <w:lvlText w:val="-"/>
        <w:lvlJc w:val="left"/>
        <w:pPr>
          <w:ind w:left="19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249B80">
        <w:start w:val="1"/>
        <w:numFmt w:val="bullet"/>
        <w:lvlText w:val="-"/>
        <w:lvlJc w:val="left"/>
        <w:pPr>
          <w:ind w:left="25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06ECDE">
        <w:start w:val="1"/>
        <w:numFmt w:val="bullet"/>
        <w:lvlText w:val="-"/>
        <w:lvlJc w:val="left"/>
        <w:pPr>
          <w:ind w:left="31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2AA8A8">
        <w:start w:val="1"/>
        <w:numFmt w:val="bullet"/>
        <w:lvlText w:val="-"/>
        <w:lvlJc w:val="left"/>
        <w:pPr>
          <w:ind w:left="37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E6F22">
        <w:start w:val="1"/>
        <w:numFmt w:val="bullet"/>
        <w:lvlText w:val="-"/>
        <w:lvlJc w:val="left"/>
        <w:pPr>
          <w:ind w:left="43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0F856">
        <w:start w:val="1"/>
        <w:numFmt w:val="bullet"/>
        <w:lvlText w:val="-"/>
        <w:lvlJc w:val="left"/>
        <w:pPr>
          <w:ind w:left="4991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C1"/>
    <w:rsid w:val="004432CB"/>
    <w:rsid w:val="00446724"/>
    <w:rsid w:val="00627127"/>
    <w:rsid w:val="008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14FB"/>
  <w15:docId w15:val="{BF28BEED-63AD-4425-987A-44F447E6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wp-content/uploads/duza-reforma-podatkowa-postulaty-bcc.pdf" TargetMode="External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nata.stefanowska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openmindedgroup.pl" TargetMode="External"/><Relationship Id="rId14" Type="http://schemas.openxmlformats.org/officeDocument/2006/relationships/hyperlink" Target="http://www.twitter.com/BCCorg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1074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2</cp:revision>
  <dcterms:created xsi:type="dcterms:W3CDTF">2024-07-17T14:17:00Z</dcterms:created>
  <dcterms:modified xsi:type="dcterms:W3CDTF">2024-07-17T14:17:00Z</dcterms:modified>
</cp:coreProperties>
</file>