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7937" w14:textId="77777777" w:rsidR="00633C9D" w:rsidRDefault="00000000">
      <w:pPr>
        <w:pStyle w:val="TreA"/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78540005" wp14:editId="4991BB86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B3B058C" w14:textId="77777777" w:rsidR="00633C9D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15 marca 2023 r. </w:t>
      </w:r>
    </w:p>
    <w:p w14:paraId="2250D282" w14:textId="77777777" w:rsidR="00633C9D" w:rsidRDefault="00633C9D">
      <w:pPr>
        <w:pStyle w:val="TreA"/>
        <w:spacing w:line="336" w:lineRule="auto"/>
        <w:rPr>
          <w:rFonts w:ascii="Arial" w:eastAsia="Arial" w:hAnsi="Arial" w:cs="Arial"/>
          <w:u w:val="single"/>
        </w:rPr>
      </w:pPr>
    </w:p>
    <w:p w14:paraId="098707E8" w14:textId="77777777" w:rsidR="00633C9D" w:rsidRDefault="00633C9D">
      <w:pPr>
        <w:pStyle w:val="TreA"/>
        <w:spacing w:line="336" w:lineRule="auto"/>
        <w:rPr>
          <w:rFonts w:ascii="Helvetica" w:eastAsia="Helvetica" w:hAnsi="Helvetica" w:cs="Helvetica"/>
          <w:u w:val="single"/>
        </w:rPr>
      </w:pPr>
    </w:p>
    <w:p w14:paraId="1C47133E" w14:textId="77777777" w:rsidR="00633C9D" w:rsidRPr="00B835C7" w:rsidRDefault="00000000">
      <w:pPr>
        <w:pStyle w:val="TreA"/>
        <w:spacing w:line="336" w:lineRule="auto"/>
        <w:jc w:val="center"/>
        <w:rPr>
          <w:rFonts w:ascii="Helvetica" w:eastAsia="Helvetica" w:hAnsi="Helvetica" w:cs="Helvetica"/>
          <w:b/>
          <w:bCs/>
          <w:caps/>
          <w:u w:val="single"/>
        </w:rPr>
      </w:pPr>
      <w:r w:rsidRPr="00B835C7">
        <w:rPr>
          <w:rFonts w:ascii="Helvetica" w:hAnsi="Helvetica"/>
          <w:b/>
          <w:bCs/>
          <w:caps/>
          <w:u w:val="single"/>
        </w:rPr>
        <w:t xml:space="preserve">Komentarz głównego ekonomisty Business Centre Club </w:t>
      </w:r>
    </w:p>
    <w:p w14:paraId="6DBA01B2" w14:textId="77777777" w:rsidR="00633C9D" w:rsidRPr="00B835C7" w:rsidRDefault="00000000">
      <w:pPr>
        <w:pStyle w:val="TreA"/>
        <w:spacing w:line="336" w:lineRule="auto"/>
        <w:jc w:val="center"/>
        <w:rPr>
          <w:rFonts w:ascii="Helvetica" w:eastAsia="Helvetica" w:hAnsi="Helvetica" w:cs="Helvetica"/>
          <w:b/>
          <w:bCs/>
          <w:caps/>
          <w:smallCaps/>
          <w:u w:val="single"/>
        </w:rPr>
      </w:pPr>
      <w:r w:rsidRPr="00B835C7">
        <w:rPr>
          <w:rFonts w:ascii="Helvetica" w:hAnsi="Helvetica"/>
          <w:b/>
          <w:bCs/>
          <w:caps/>
          <w:u w:val="single"/>
        </w:rPr>
        <w:t>do danych GUS</w:t>
      </w:r>
    </w:p>
    <w:p w14:paraId="13DFF125" w14:textId="77777777" w:rsidR="00633C9D" w:rsidRDefault="00000000">
      <w:pPr>
        <w:pStyle w:val="TreA"/>
        <w:spacing w:line="336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 xml:space="preserve">                                                    </w:t>
      </w:r>
    </w:p>
    <w:p w14:paraId="1132C613" w14:textId="193DBFD4" w:rsidR="00633C9D" w:rsidRPr="00B835C7" w:rsidRDefault="00000000">
      <w:pPr>
        <w:pStyle w:val="TreA"/>
        <w:spacing w:line="336" w:lineRule="auto"/>
        <w:jc w:val="both"/>
        <w:rPr>
          <w:rFonts w:ascii="Helvetica" w:eastAsia="Helvetica" w:hAnsi="Helvetica" w:cs="Helvetica"/>
          <w:b/>
          <w:bCs/>
          <w:sz w:val="23"/>
          <w:szCs w:val="23"/>
        </w:rPr>
      </w:pPr>
      <w:r w:rsidRPr="00B835C7">
        <w:rPr>
          <w:rFonts w:ascii="Helvetica" w:hAnsi="Helvetica"/>
          <w:b/>
          <w:bCs/>
          <w:sz w:val="23"/>
          <w:szCs w:val="23"/>
        </w:rPr>
        <w:t>Główny Urząd Statystyczny (GUS) podał wyższy wskaźnik inflacji niż prognozowano. W lutym ceny towar</w:t>
      </w:r>
      <w:r w:rsidRPr="00B835C7">
        <w:rPr>
          <w:rFonts w:ascii="Helvetica" w:hAnsi="Helvetica"/>
          <w:b/>
          <w:bCs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b/>
          <w:bCs/>
          <w:sz w:val="23"/>
          <w:szCs w:val="23"/>
        </w:rPr>
        <w:t>w i usług wzrosł</w:t>
      </w:r>
      <w:r w:rsidRPr="00B835C7">
        <w:rPr>
          <w:rFonts w:ascii="Helvetica" w:hAnsi="Helvetica"/>
          <w:b/>
          <w:bCs/>
          <w:sz w:val="23"/>
          <w:szCs w:val="23"/>
          <w:lang w:val="en-US"/>
        </w:rPr>
        <w:t>y a</w:t>
      </w:r>
      <w:r w:rsidRPr="00B835C7">
        <w:rPr>
          <w:rFonts w:ascii="Helvetica" w:hAnsi="Helvetica"/>
          <w:b/>
          <w:bCs/>
          <w:sz w:val="23"/>
          <w:szCs w:val="23"/>
        </w:rPr>
        <w:t>ż o 18,4 % w stosunku do analogicznego miesiąca w roku ubiegłym. To najwyższy wskaźnik od 1996 roku. Czy to już szczyt inflacyjny?</w:t>
      </w:r>
      <w:r w:rsidR="00B835C7" w:rsidRPr="00B835C7">
        <w:rPr>
          <w:rFonts w:ascii="Helvetica" w:hAnsi="Helvetica"/>
          <w:b/>
          <w:bCs/>
          <w:sz w:val="23"/>
          <w:szCs w:val="23"/>
        </w:rPr>
        <w:t xml:space="preserve"> </w:t>
      </w:r>
      <w:r w:rsidRPr="00B835C7">
        <w:rPr>
          <w:rFonts w:ascii="Helvetica" w:hAnsi="Helvetica"/>
          <w:b/>
          <w:bCs/>
          <w:sz w:val="23"/>
          <w:szCs w:val="23"/>
        </w:rPr>
        <w:t>Do</w:t>
      </w:r>
      <w:r w:rsidR="00B835C7" w:rsidRPr="00B835C7">
        <w:rPr>
          <w:rFonts w:ascii="Helvetica" w:hAnsi="Helvetica"/>
          <w:b/>
          <w:bCs/>
          <w:sz w:val="23"/>
          <w:szCs w:val="23"/>
        </w:rPr>
        <w:t xml:space="preserve"> </w:t>
      </w:r>
      <w:r w:rsidRPr="00B835C7">
        <w:rPr>
          <w:rFonts w:ascii="Helvetica" w:hAnsi="Helvetica"/>
          <w:b/>
          <w:bCs/>
          <w:sz w:val="23"/>
          <w:szCs w:val="23"/>
        </w:rPr>
        <w:t>najnowszych danych GUS w swoim komentarzu odni</w:t>
      </w:r>
      <w:r w:rsidRPr="00B835C7">
        <w:rPr>
          <w:rFonts w:ascii="Helvetica" w:hAnsi="Helvetica"/>
          <w:b/>
          <w:bCs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b/>
          <w:bCs/>
          <w:sz w:val="23"/>
          <w:szCs w:val="23"/>
        </w:rPr>
        <w:t xml:space="preserve">sł się główny ekonomista Business Centre Club prof. Stanisław Gomułka. </w:t>
      </w:r>
    </w:p>
    <w:p w14:paraId="63E59221" w14:textId="77777777" w:rsidR="00633C9D" w:rsidRPr="00B835C7" w:rsidRDefault="00633C9D">
      <w:pPr>
        <w:pStyle w:val="TreA"/>
        <w:spacing w:line="336" w:lineRule="auto"/>
        <w:jc w:val="both"/>
        <w:rPr>
          <w:rFonts w:ascii="Helvetica" w:eastAsia="Helvetica" w:hAnsi="Helvetica" w:cs="Helvetica"/>
          <w:sz w:val="23"/>
          <w:szCs w:val="23"/>
        </w:rPr>
      </w:pPr>
    </w:p>
    <w:p w14:paraId="7923E3E9" w14:textId="1BE10824" w:rsidR="00633C9D" w:rsidRPr="00B835C7" w:rsidRDefault="00000000">
      <w:pPr>
        <w:pStyle w:val="TreA"/>
        <w:spacing w:line="336" w:lineRule="auto"/>
        <w:jc w:val="both"/>
        <w:rPr>
          <w:rFonts w:ascii="Helvetica" w:eastAsia="Helvetica" w:hAnsi="Helvetica" w:cs="Helvetica"/>
          <w:sz w:val="23"/>
          <w:szCs w:val="23"/>
        </w:rPr>
      </w:pPr>
      <w:r w:rsidRPr="00B835C7">
        <w:rPr>
          <w:rFonts w:ascii="Helvetica" w:hAnsi="Helvetica"/>
          <w:sz w:val="23"/>
          <w:szCs w:val="23"/>
        </w:rPr>
        <w:t>Jak co roku GUS przeanalizował zachowania zakupowe Polak</w:t>
      </w:r>
      <w:r w:rsidRPr="00B835C7">
        <w:rPr>
          <w:rFonts w:ascii="Helvetica" w:hAnsi="Helvetica"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sz w:val="23"/>
          <w:szCs w:val="23"/>
        </w:rPr>
        <w:t>w. Na podstawie badania zmodyfikowano udział poszczeg</w:t>
      </w:r>
      <w:r w:rsidRPr="00B835C7">
        <w:rPr>
          <w:rFonts w:ascii="Helvetica" w:hAnsi="Helvetica"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sz w:val="23"/>
          <w:szCs w:val="23"/>
        </w:rPr>
        <w:t>lnych towar</w:t>
      </w:r>
      <w:r w:rsidRPr="00B835C7">
        <w:rPr>
          <w:rFonts w:ascii="Helvetica" w:hAnsi="Helvetica"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sz w:val="23"/>
          <w:szCs w:val="23"/>
        </w:rPr>
        <w:t>w i usł</w:t>
      </w:r>
      <w:r w:rsidRPr="00B835C7">
        <w:rPr>
          <w:rFonts w:ascii="Helvetica" w:hAnsi="Helvetica"/>
          <w:sz w:val="23"/>
          <w:szCs w:val="23"/>
          <w:lang w:val="nl-NL"/>
        </w:rPr>
        <w:t>ug we</w:t>
      </w:r>
      <w:r w:rsidRPr="00B835C7">
        <w:rPr>
          <w:rFonts w:ascii="Helvetica" w:hAnsi="Helvetica"/>
          <w:sz w:val="23"/>
          <w:szCs w:val="23"/>
        </w:rPr>
        <w:t xml:space="preserve"> wskaźnikach inflacji. W stosunku do stycznia ceny towar</w:t>
      </w:r>
      <w:r w:rsidRPr="00B835C7">
        <w:rPr>
          <w:rFonts w:ascii="Helvetica" w:hAnsi="Helvetica"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sz w:val="23"/>
          <w:szCs w:val="23"/>
        </w:rPr>
        <w:t>w i usług wzrosły o 1,2%.</w:t>
      </w:r>
    </w:p>
    <w:p w14:paraId="70EB5F5F" w14:textId="77777777" w:rsidR="00633C9D" w:rsidRPr="00B835C7" w:rsidRDefault="00633C9D">
      <w:pPr>
        <w:pStyle w:val="TreA"/>
        <w:spacing w:line="336" w:lineRule="auto"/>
        <w:jc w:val="both"/>
        <w:rPr>
          <w:rFonts w:ascii="Helvetica" w:eastAsia="Helvetica" w:hAnsi="Helvetica" w:cs="Helvetica"/>
          <w:sz w:val="23"/>
          <w:szCs w:val="23"/>
        </w:rPr>
      </w:pPr>
    </w:p>
    <w:p w14:paraId="10B6B7ED" w14:textId="4259C57E" w:rsidR="00633C9D" w:rsidRPr="00B835C7" w:rsidRDefault="00000000">
      <w:pPr>
        <w:pStyle w:val="TreA"/>
        <w:spacing w:line="336" w:lineRule="auto"/>
        <w:jc w:val="both"/>
        <w:rPr>
          <w:rFonts w:ascii="Helvetica" w:hAnsi="Helvetica"/>
          <w:sz w:val="23"/>
          <w:szCs w:val="23"/>
        </w:rPr>
      </w:pPr>
      <w:r w:rsidRPr="00B835C7">
        <w:rPr>
          <w:rFonts w:ascii="Helvetica" w:hAnsi="Helvetica"/>
          <w:i/>
          <w:iCs/>
          <w:sz w:val="23"/>
          <w:szCs w:val="23"/>
        </w:rPr>
        <w:t xml:space="preserve">Wysoka inflacja CPI r/r w lutym oraz w ostatnich kilkunastu miesiącach, </w:t>
      </w:r>
      <w:r w:rsidRPr="00B835C7">
        <w:rPr>
          <w:rFonts w:ascii="Helvetica" w:hAnsi="Helvetica"/>
          <w:i/>
          <w:iCs/>
          <w:sz w:val="23"/>
          <w:szCs w:val="23"/>
          <w:lang w:val="en-US"/>
        </w:rPr>
        <w:t>to g</w:t>
      </w:r>
      <w:r w:rsidRPr="00B835C7">
        <w:rPr>
          <w:rFonts w:ascii="Helvetica" w:hAnsi="Helvetica"/>
          <w:i/>
          <w:iCs/>
          <w:sz w:val="23"/>
          <w:szCs w:val="23"/>
        </w:rPr>
        <w:t>łównie opóźniony skutek bardzo ekspansywnej polityki monetarnej NBP oraz polityki fiskalnej rządu w latach 2020 i 2021. Teraz też wiemy, że nie jest to</w:t>
      </w:r>
      <w:r w:rsidR="00083B05">
        <w:rPr>
          <w:rFonts w:ascii="Helvetica" w:hAnsi="Helvetica"/>
          <w:i/>
          <w:iCs/>
          <w:sz w:val="23"/>
          <w:szCs w:val="23"/>
        </w:rPr>
        <w:t xml:space="preserve"> </w:t>
      </w:r>
      <w:r w:rsidRPr="00B835C7">
        <w:rPr>
          <w:rFonts w:ascii="Helvetica" w:hAnsi="Helvetica"/>
          <w:i/>
          <w:iCs/>
          <w:sz w:val="23"/>
          <w:szCs w:val="23"/>
        </w:rPr>
        <w:t xml:space="preserve">na pewno efekt putininflacji. </w:t>
      </w:r>
      <w:r w:rsidR="00B835C7" w:rsidRPr="00B835C7">
        <w:rPr>
          <w:rFonts w:ascii="Helvetica" w:hAnsi="Helvetica"/>
          <w:i/>
          <w:iCs/>
          <w:sz w:val="23"/>
          <w:szCs w:val="23"/>
        </w:rPr>
        <w:t>–</w:t>
      </w:r>
      <w:r w:rsidRPr="00B835C7">
        <w:rPr>
          <w:rFonts w:ascii="Helvetica" w:hAnsi="Helvetica"/>
          <w:sz w:val="23"/>
          <w:szCs w:val="23"/>
        </w:rPr>
        <w:t xml:space="preserve"> </w:t>
      </w:r>
      <w:r w:rsidR="00B835C7" w:rsidRPr="00B835C7">
        <w:rPr>
          <w:rFonts w:ascii="Helvetica" w:hAnsi="Helvetica"/>
          <w:sz w:val="23"/>
          <w:szCs w:val="23"/>
        </w:rPr>
        <w:t>z</w:t>
      </w:r>
      <w:r w:rsidRPr="00B835C7">
        <w:rPr>
          <w:rFonts w:ascii="Helvetica" w:hAnsi="Helvetica"/>
          <w:sz w:val="23"/>
          <w:szCs w:val="23"/>
        </w:rPr>
        <w:t>auważa</w:t>
      </w:r>
      <w:r w:rsidRPr="00B835C7">
        <w:rPr>
          <w:rFonts w:ascii="Helvetica" w:hAnsi="Helvetica"/>
          <w:i/>
          <w:iCs/>
          <w:sz w:val="23"/>
          <w:szCs w:val="23"/>
        </w:rPr>
        <w:t xml:space="preserve"> </w:t>
      </w:r>
      <w:r w:rsidRPr="00B835C7">
        <w:rPr>
          <w:rFonts w:ascii="Helvetica" w:hAnsi="Helvetica"/>
          <w:b/>
          <w:bCs/>
          <w:sz w:val="23"/>
          <w:szCs w:val="23"/>
        </w:rPr>
        <w:t>prof. Stanis</w:t>
      </w:r>
      <w:r w:rsidRPr="00B835C7">
        <w:rPr>
          <w:rFonts w:ascii="Helvetica" w:hAnsi="Helvetica"/>
          <w:b/>
          <w:bCs/>
          <w:sz w:val="23"/>
          <w:szCs w:val="23"/>
          <w:lang w:val="en-US"/>
        </w:rPr>
        <w:t>ł</w:t>
      </w:r>
      <w:r w:rsidRPr="00B835C7">
        <w:rPr>
          <w:rFonts w:ascii="Helvetica" w:hAnsi="Helvetica"/>
          <w:b/>
          <w:bCs/>
          <w:sz w:val="23"/>
          <w:szCs w:val="23"/>
        </w:rPr>
        <w:t>awa</w:t>
      </w:r>
      <w:r w:rsidRPr="00B835C7">
        <w:rPr>
          <w:rFonts w:ascii="Helvetica" w:hAnsi="Helvetica"/>
          <w:b/>
          <w:bCs/>
          <w:sz w:val="23"/>
          <w:szCs w:val="23"/>
          <w:lang w:val="pt-PT"/>
        </w:rPr>
        <w:t xml:space="preserve"> Gomu</w:t>
      </w:r>
      <w:r w:rsidRPr="00B835C7">
        <w:rPr>
          <w:rFonts w:ascii="Helvetica" w:hAnsi="Helvetica"/>
          <w:b/>
          <w:bCs/>
          <w:sz w:val="23"/>
          <w:szCs w:val="23"/>
          <w:lang w:val="en-US"/>
        </w:rPr>
        <w:t>ł</w:t>
      </w:r>
      <w:r w:rsidRPr="00B835C7">
        <w:rPr>
          <w:rFonts w:ascii="Helvetica" w:hAnsi="Helvetica"/>
          <w:b/>
          <w:bCs/>
          <w:sz w:val="23"/>
          <w:szCs w:val="23"/>
        </w:rPr>
        <w:t>ki,</w:t>
      </w:r>
      <w:r w:rsidRPr="00B835C7">
        <w:rPr>
          <w:rFonts w:ascii="Helvetica" w:hAnsi="Helvetica"/>
          <w:sz w:val="23"/>
          <w:szCs w:val="23"/>
        </w:rPr>
        <w:t xml:space="preserve"> </w:t>
      </w:r>
      <w:r w:rsidRPr="00B835C7">
        <w:rPr>
          <w:rFonts w:ascii="Helvetica" w:hAnsi="Helvetica"/>
          <w:b/>
          <w:bCs/>
          <w:sz w:val="23"/>
          <w:szCs w:val="23"/>
        </w:rPr>
        <w:t>główny ekonomista BCC i minister finans</w:t>
      </w:r>
      <w:r w:rsidRPr="00B835C7">
        <w:rPr>
          <w:rFonts w:ascii="Helvetica" w:hAnsi="Helvetica"/>
          <w:b/>
          <w:bCs/>
          <w:sz w:val="23"/>
          <w:szCs w:val="23"/>
          <w:lang w:val="en-US"/>
        </w:rPr>
        <w:t>ó</w:t>
      </w:r>
      <w:r w:rsidRPr="00B835C7">
        <w:rPr>
          <w:rFonts w:ascii="Helvetica" w:hAnsi="Helvetica"/>
          <w:b/>
          <w:bCs/>
          <w:sz w:val="23"/>
          <w:szCs w:val="23"/>
        </w:rPr>
        <w:t>w Gospodarczego Gabinetu Cieni Business Centre</w:t>
      </w:r>
      <w:r w:rsidRPr="00B835C7">
        <w:rPr>
          <w:rFonts w:ascii="Helvetica" w:hAnsi="Helvetica"/>
          <w:b/>
          <w:bCs/>
          <w:sz w:val="23"/>
          <w:szCs w:val="23"/>
          <w:lang w:val="en-US"/>
        </w:rPr>
        <w:t xml:space="preserve"> Club</w:t>
      </w:r>
    </w:p>
    <w:p w14:paraId="4CBAAEAD" w14:textId="77777777" w:rsidR="00633C9D" w:rsidRPr="00B835C7" w:rsidRDefault="00633C9D">
      <w:pPr>
        <w:pStyle w:val="TreA"/>
        <w:spacing w:line="336" w:lineRule="auto"/>
        <w:jc w:val="both"/>
        <w:rPr>
          <w:rFonts w:ascii="Helvetica" w:eastAsia="Helvetica" w:hAnsi="Helvetica" w:cs="Helvetica"/>
          <w:b/>
          <w:bCs/>
          <w:sz w:val="23"/>
          <w:szCs w:val="23"/>
          <w:lang w:val="en-US"/>
        </w:rPr>
      </w:pPr>
    </w:p>
    <w:p w14:paraId="30CC09CD" w14:textId="31A642D9" w:rsidR="00633C9D" w:rsidRPr="00B835C7" w:rsidRDefault="00000000">
      <w:pPr>
        <w:pStyle w:val="TreA"/>
        <w:spacing w:line="336" w:lineRule="auto"/>
        <w:jc w:val="both"/>
        <w:rPr>
          <w:rFonts w:ascii="Helvetica" w:eastAsia="Helvetica" w:hAnsi="Helvetica" w:cs="Helvetica"/>
          <w:b/>
          <w:bCs/>
          <w:i/>
          <w:iCs/>
          <w:sz w:val="23"/>
          <w:szCs w:val="23"/>
        </w:rPr>
      </w:pPr>
      <w:r w:rsidRPr="00B835C7">
        <w:rPr>
          <w:rFonts w:ascii="Helvetica" w:hAnsi="Helvetica"/>
          <w:i/>
          <w:iCs/>
          <w:sz w:val="23"/>
          <w:szCs w:val="23"/>
          <w:lang w:val="de-DE"/>
        </w:rPr>
        <w:t>W</w:t>
      </w:r>
      <w:r w:rsidRPr="00B835C7">
        <w:rPr>
          <w:rFonts w:ascii="Helvetica" w:hAnsi="Helvetica"/>
          <w:i/>
          <w:iCs/>
          <w:sz w:val="23"/>
          <w:szCs w:val="23"/>
        </w:rPr>
        <w:t> roku 2022 mieliśmy i w pierwszym kwartale 2023 mamy silne spadki cen gazu</w:t>
      </w:r>
      <w:r w:rsidR="00B835C7" w:rsidRPr="00B835C7">
        <w:rPr>
          <w:rFonts w:ascii="Helvetica" w:hAnsi="Helvetica"/>
          <w:i/>
          <w:iCs/>
          <w:sz w:val="23"/>
          <w:szCs w:val="23"/>
        </w:rPr>
        <w:t xml:space="preserve"> </w:t>
      </w:r>
      <w:r w:rsidRPr="00B835C7">
        <w:rPr>
          <w:rFonts w:ascii="Helvetica" w:hAnsi="Helvetica"/>
          <w:i/>
          <w:iCs/>
          <w:sz w:val="23"/>
          <w:szCs w:val="23"/>
        </w:rPr>
        <w:t xml:space="preserve">i zboża, przez kilka miesięcy znaczący spadek płacy realnej oraz znaczące zacieśnienie polityki monetarnej. </w:t>
      </w:r>
      <w:r w:rsidRPr="00B835C7">
        <w:rPr>
          <w:rFonts w:ascii="Helvetica" w:hAnsi="Helvetica"/>
          <w:b/>
          <w:bCs/>
          <w:i/>
          <w:iCs/>
          <w:sz w:val="23"/>
          <w:szCs w:val="23"/>
        </w:rPr>
        <w:t>Te zmiany są dostatecznie duże, aby prawdopodobnie od szczytu inflacji w lutym 2023 miał miejsce spadek inflacji CPI w trakcie 2023</w:t>
      </w:r>
      <w:r w:rsidRPr="00B835C7">
        <w:rPr>
          <w:rFonts w:ascii="Helvetica" w:hAnsi="Helvetica"/>
          <w:i/>
          <w:iCs/>
          <w:sz w:val="23"/>
          <w:szCs w:val="23"/>
        </w:rPr>
        <w:t xml:space="preserve">, do poziomu w przedziale 10-13% r/r pod koniec roku. </w:t>
      </w:r>
      <w:r w:rsidRPr="00B835C7">
        <w:rPr>
          <w:rFonts w:ascii="Helvetica" w:hAnsi="Helvetica"/>
          <w:sz w:val="23"/>
          <w:szCs w:val="23"/>
        </w:rPr>
        <w:t xml:space="preserve">– </w:t>
      </w:r>
      <w:r w:rsidRPr="00B835C7">
        <w:rPr>
          <w:rFonts w:ascii="Helvetica" w:hAnsi="Helvetica"/>
          <w:b/>
          <w:bCs/>
          <w:sz w:val="23"/>
          <w:szCs w:val="23"/>
        </w:rPr>
        <w:t>podkreśla ekspert BCC.</w:t>
      </w:r>
    </w:p>
    <w:p w14:paraId="1EA0C6FB" w14:textId="77777777" w:rsidR="00633C9D" w:rsidRPr="00B835C7" w:rsidRDefault="00633C9D">
      <w:pPr>
        <w:pStyle w:val="TreA"/>
        <w:spacing w:line="336" w:lineRule="auto"/>
        <w:jc w:val="both"/>
        <w:rPr>
          <w:rFonts w:ascii="Helvetica" w:eastAsia="Helvetica" w:hAnsi="Helvetica" w:cs="Helvetica"/>
          <w:sz w:val="23"/>
          <w:szCs w:val="23"/>
        </w:rPr>
      </w:pPr>
    </w:p>
    <w:p w14:paraId="18FE45EE" w14:textId="5B4C2D78" w:rsidR="00633C9D" w:rsidRPr="00B835C7" w:rsidRDefault="00000000">
      <w:pPr>
        <w:pStyle w:val="TreA"/>
        <w:spacing w:line="336" w:lineRule="auto"/>
        <w:jc w:val="both"/>
        <w:rPr>
          <w:rFonts w:ascii="Helvetica" w:hAnsi="Helvetica"/>
          <w:i/>
          <w:iCs/>
          <w:sz w:val="23"/>
          <w:szCs w:val="23"/>
        </w:rPr>
      </w:pPr>
      <w:r w:rsidRPr="00B835C7">
        <w:rPr>
          <w:rFonts w:ascii="Helvetica" w:hAnsi="Helvetica"/>
          <w:sz w:val="23"/>
          <w:szCs w:val="23"/>
        </w:rPr>
        <w:t>W ocenie agencji ratingowej Fitch, inflacja w grudniu 2023 wyniesie 10,5% oraz 6%</w:t>
      </w:r>
      <w:r w:rsidR="00B835C7" w:rsidRPr="00B835C7">
        <w:rPr>
          <w:rFonts w:ascii="Helvetica" w:hAnsi="Helvetica"/>
          <w:sz w:val="23"/>
          <w:szCs w:val="23"/>
        </w:rPr>
        <w:t xml:space="preserve"> </w:t>
      </w:r>
      <w:r w:rsidRPr="00B835C7">
        <w:rPr>
          <w:rFonts w:ascii="Helvetica" w:hAnsi="Helvetica"/>
          <w:sz w:val="23"/>
          <w:szCs w:val="23"/>
        </w:rPr>
        <w:t>w grudniu </w:t>
      </w:r>
      <w:r w:rsidRPr="00B835C7">
        <w:rPr>
          <w:rFonts w:ascii="Helvetica" w:hAnsi="Helvetica"/>
          <w:sz w:val="23"/>
          <w:szCs w:val="23"/>
          <w:lang w:val="en-US"/>
        </w:rPr>
        <w:t>2024.</w:t>
      </w:r>
      <w:r w:rsidR="00B835C7" w:rsidRPr="00B835C7">
        <w:rPr>
          <w:rFonts w:ascii="Helvetica" w:hAnsi="Helvetica"/>
          <w:sz w:val="23"/>
          <w:szCs w:val="23"/>
          <w:lang w:val="en-US"/>
        </w:rPr>
        <w:t xml:space="preserve"> </w:t>
      </w:r>
      <w:r w:rsidRPr="00B835C7">
        <w:rPr>
          <w:rFonts w:ascii="Helvetica" w:hAnsi="Helvetica"/>
          <w:sz w:val="23"/>
          <w:szCs w:val="23"/>
          <w:lang w:val="en-US"/>
        </w:rPr>
        <w:t>Wed</w:t>
      </w:r>
      <w:r w:rsidRPr="00B835C7">
        <w:rPr>
          <w:rFonts w:ascii="Helvetica" w:hAnsi="Helvetica"/>
          <w:sz w:val="23"/>
          <w:szCs w:val="23"/>
        </w:rPr>
        <w:t>ł</w:t>
      </w:r>
      <w:r w:rsidRPr="00B835C7">
        <w:rPr>
          <w:rFonts w:ascii="Helvetica" w:hAnsi="Helvetica"/>
          <w:sz w:val="23"/>
          <w:szCs w:val="23"/>
          <w:lang w:val="nl-NL"/>
        </w:rPr>
        <w:t xml:space="preserve">ug </w:t>
      </w:r>
      <w:r w:rsidRPr="00B835C7">
        <w:rPr>
          <w:rFonts w:ascii="Helvetica" w:hAnsi="Helvetica"/>
          <w:sz w:val="23"/>
          <w:szCs w:val="23"/>
        </w:rPr>
        <w:t xml:space="preserve">głównego ekonomisty BCC – </w:t>
      </w:r>
      <w:r w:rsidRPr="00B835C7">
        <w:rPr>
          <w:rFonts w:ascii="Helvetica" w:hAnsi="Helvetica"/>
          <w:i/>
          <w:iCs/>
          <w:sz w:val="23"/>
          <w:szCs w:val="23"/>
        </w:rPr>
        <w:t xml:space="preserve">te prognozy są obarczone dużym ryzykiem błędu </w:t>
      </w:r>
      <w:r w:rsidR="00B835C7" w:rsidRPr="00B835C7">
        <w:rPr>
          <w:rFonts w:ascii="Helvetica" w:hAnsi="Helvetica"/>
          <w:i/>
          <w:iCs/>
          <w:sz w:val="23"/>
          <w:szCs w:val="23"/>
        </w:rPr>
        <w:t>–</w:t>
      </w:r>
      <w:r w:rsidRPr="00B835C7">
        <w:rPr>
          <w:rFonts w:ascii="Helvetica" w:hAnsi="Helvetica"/>
          <w:i/>
          <w:iCs/>
          <w:sz w:val="23"/>
          <w:szCs w:val="23"/>
        </w:rPr>
        <w:t xml:space="preserve"> </w:t>
      </w:r>
      <w:r w:rsidR="00B835C7" w:rsidRPr="00B835C7">
        <w:rPr>
          <w:rFonts w:ascii="Helvetica" w:hAnsi="Helvetica"/>
          <w:i/>
          <w:iCs/>
          <w:sz w:val="23"/>
          <w:szCs w:val="23"/>
        </w:rPr>
        <w:t>s</w:t>
      </w:r>
      <w:r w:rsidRPr="00B835C7">
        <w:rPr>
          <w:rFonts w:ascii="Helvetica" w:hAnsi="Helvetica"/>
          <w:i/>
          <w:iCs/>
          <w:sz w:val="23"/>
          <w:szCs w:val="23"/>
        </w:rPr>
        <w:t xml:space="preserve">zybkość dezinflacji może być znacząco mniejsza niż ta prognoza. </w:t>
      </w:r>
    </w:p>
    <w:p w14:paraId="6DCD7E85" w14:textId="77777777" w:rsidR="00633C9D" w:rsidRPr="00B835C7" w:rsidRDefault="00633C9D">
      <w:pPr>
        <w:pStyle w:val="TreA"/>
        <w:spacing w:line="336" w:lineRule="auto"/>
        <w:jc w:val="both"/>
        <w:rPr>
          <w:rFonts w:ascii="Helvetica" w:eastAsia="Helvetica" w:hAnsi="Helvetica" w:cs="Helvetica"/>
          <w:i/>
          <w:iCs/>
          <w:sz w:val="23"/>
          <w:szCs w:val="23"/>
        </w:rPr>
      </w:pPr>
    </w:p>
    <w:p w14:paraId="7F7BA3F5" w14:textId="77777777" w:rsidR="00633C9D" w:rsidRPr="00B835C7" w:rsidRDefault="00000000">
      <w:pPr>
        <w:pStyle w:val="DomylneA"/>
        <w:spacing w:before="0" w:after="280" w:line="336" w:lineRule="auto"/>
        <w:jc w:val="both"/>
        <w:rPr>
          <w:rFonts w:ascii="Helvetica" w:eastAsia="Helvetica" w:hAnsi="Helvetica" w:cs="Helvetica"/>
          <w:b/>
          <w:bCs/>
          <w:sz w:val="23"/>
          <w:szCs w:val="23"/>
        </w:rPr>
      </w:pPr>
      <w:r w:rsidRPr="00B835C7">
        <w:rPr>
          <w:rFonts w:ascii="Helvetica" w:hAnsi="Helvetica"/>
          <w:sz w:val="23"/>
          <w:szCs w:val="23"/>
        </w:rPr>
        <w:t>Stanisław</w:t>
      </w:r>
      <w:r w:rsidRPr="00B835C7">
        <w:rPr>
          <w:rFonts w:ascii="Helvetica" w:hAnsi="Helvetica"/>
          <w:i/>
          <w:iCs/>
          <w:sz w:val="23"/>
          <w:szCs w:val="23"/>
        </w:rPr>
        <w:t xml:space="preserve"> </w:t>
      </w:r>
      <w:r w:rsidRPr="00B835C7">
        <w:rPr>
          <w:rFonts w:ascii="Helvetica" w:hAnsi="Helvetica"/>
          <w:sz w:val="23"/>
          <w:szCs w:val="23"/>
          <w:lang w:val="pt-PT"/>
        </w:rPr>
        <w:t>Gomu</w:t>
      </w:r>
      <w:r w:rsidRPr="00B835C7">
        <w:rPr>
          <w:rFonts w:ascii="Helvetica" w:hAnsi="Helvetica"/>
          <w:sz w:val="23"/>
          <w:szCs w:val="23"/>
        </w:rPr>
        <w:t>łka zwraca też uwagę, że w UE stopa inflacji w latach 2021-2022 była silnie zróżnicowana między krajami i </w:t>
      </w:r>
      <w:r w:rsidRPr="00B835C7">
        <w:rPr>
          <w:rFonts w:ascii="Helvetica" w:hAnsi="Helvetica"/>
          <w:b/>
          <w:bCs/>
          <w:sz w:val="23"/>
          <w:szCs w:val="23"/>
        </w:rPr>
        <w:t>średnio o okoł</w:t>
      </w:r>
      <w:r w:rsidRPr="00B835C7">
        <w:rPr>
          <w:rFonts w:ascii="Helvetica" w:hAnsi="Helvetica"/>
          <w:b/>
          <w:bCs/>
          <w:sz w:val="23"/>
          <w:szCs w:val="23"/>
          <w:lang w:val="es-ES_tradnl"/>
        </w:rPr>
        <w:t>o po</w:t>
      </w:r>
      <w:r w:rsidRPr="00B835C7">
        <w:rPr>
          <w:rFonts w:ascii="Helvetica" w:hAnsi="Helvetica"/>
          <w:b/>
          <w:bCs/>
          <w:sz w:val="23"/>
          <w:szCs w:val="23"/>
        </w:rPr>
        <w:t xml:space="preserve">łowę niższa niż w Polsce. </w:t>
      </w:r>
    </w:p>
    <w:p w14:paraId="454DE0B8" w14:textId="14793FBF" w:rsidR="00633C9D" w:rsidRPr="00B835C7" w:rsidRDefault="00000000">
      <w:pPr>
        <w:pStyle w:val="DomylneA"/>
        <w:spacing w:before="0" w:after="280" w:line="336" w:lineRule="auto"/>
        <w:jc w:val="both"/>
        <w:rPr>
          <w:rFonts w:ascii="Helvetica" w:eastAsia="Helvetica" w:hAnsi="Helvetica" w:cs="Helvetica"/>
          <w:b/>
          <w:bCs/>
          <w:sz w:val="23"/>
          <w:szCs w:val="23"/>
        </w:rPr>
      </w:pPr>
      <w:r w:rsidRPr="00B835C7">
        <w:rPr>
          <w:rFonts w:ascii="Helvetica" w:hAnsi="Helvetica"/>
          <w:i/>
          <w:iCs/>
          <w:sz w:val="23"/>
          <w:szCs w:val="23"/>
        </w:rPr>
        <w:t xml:space="preserve">W krajach wysoko rozwiniętych UE, także w Wielkiej Brytanii i USA, długofalowe tempo wzrostu PKB na mieszkańca wynosi około 1,5%. Kryzys energetyczny oraz pandemia obniżyły tempo </w:t>
      </w:r>
      <w:r w:rsidRPr="00B835C7">
        <w:rPr>
          <w:rFonts w:ascii="Helvetica" w:hAnsi="Helvetica"/>
          <w:i/>
          <w:iCs/>
          <w:sz w:val="23"/>
          <w:szCs w:val="23"/>
        </w:rPr>
        <w:lastRenderedPageBreak/>
        <w:t xml:space="preserve">wzrostu w roku 2023 o około 2- 3 pp, czyli nieco mniej niż w Polsce. Oznacza to wejście tych krajów w roku bieżącym w obszar niewielkiej recesji. – </w:t>
      </w:r>
      <w:r w:rsidRPr="00B835C7">
        <w:rPr>
          <w:rFonts w:ascii="Helvetica" w:hAnsi="Helvetica"/>
          <w:sz w:val="23"/>
          <w:szCs w:val="23"/>
        </w:rPr>
        <w:t xml:space="preserve">podsumowuje </w:t>
      </w:r>
      <w:r w:rsidRPr="00B835C7">
        <w:rPr>
          <w:rFonts w:ascii="Helvetica" w:hAnsi="Helvetica"/>
          <w:b/>
          <w:bCs/>
          <w:sz w:val="23"/>
          <w:szCs w:val="23"/>
        </w:rPr>
        <w:t>ekspert BCC.</w:t>
      </w:r>
    </w:p>
    <w:p w14:paraId="57B2D047" w14:textId="77777777" w:rsidR="00633C9D" w:rsidRPr="00B835C7" w:rsidRDefault="00000000">
      <w:pPr>
        <w:pStyle w:val="TreA"/>
        <w:spacing w:line="336" w:lineRule="auto"/>
        <w:jc w:val="both"/>
        <w:rPr>
          <w:rFonts w:ascii="Helvetica" w:eastAsia="Helvetica" w:hAnsi="Helvetica" w:cs="Helvetica"/>
          <w:b/>
          <w:bCs/>
          <w:sz w:val="23"/>
          <w:szCs w:val="23"/>
        </w:rPr>
      </w:pPr>
      <w:r w:rsidRPr="00B835C7">
        <w:rPr>
          <w:rFonts w:ascii="Helvetica" w:hAnsi="Helvetica"/>
          <w:b/>
          <w:bCs/>
          <w:sz w:val="23"/>
          <w:szCs w:val="23"/>
        </w:rPr>
        <w:t>Wzrost PKB</w:t>
      </w:r>
    </w:p>
    <w:p w14:paraId="01ED210B" w14:textId="77777777" w:rsidR="00633C9D" w:rsidRPr="00B835C7" w:rsidRDefault="00633C9D">
      <w:pPr>
        <w:pStyle w:val="TreA"/>
        <w:spacing w:line="336" w:lineRule="auto"/>
        <w:jc w:val="both"/>
        <w:rPr>
          <w:rFonts w:ascii="Helvetica" w:eastAsia="Helvetica" w:hAnsi="Helvetica" w:cs="Helvetica"/>
          <w:b/>
          <w:bCs/>
          <w:sz w:val="23"/>
          <w:szCs w:val="23"/>
        </w:rPr>
      </w:pPr>
    </w:p>
    <w:p w14:paraId="60A358A5" w14:textId="481B41BF" w:rsidR="00B835C7" w:rsidRPr="00B835C7" w:rsidRDefault="00000000">
      <w:pPr>
        <w:pStyle w:val="TreA"/>
        <w:spacing w:line="336" w:lineRule="auto"/>
        <w:jc w:val="both"/>
        <w:rPr>
          <w:rFonts w:ascii="Helvetica" w:hAnsi="Helvetica"/>
          <w:sz w:val="23"/>
          <w:szCs w:val="23"/>
        </w:rPr>
      </w:pPr>
      <w:r w:rsidRPr="00B835C7">
        <w:rPr>
          <w:rFonts w:ascii="Helvetica" w:hAnsi="Helvetica"/>
          <w:sz w:val="23"/>
          <w:szCs w:val="23"/>
        </w:rPr>
        <w:t>Projekcje NBP oraz agencji Fitch, dotyczące wzrostu PKB w latach 2023 i 2024,</w:t>
      </w:r>
      <w:r w:rsidR="00B835C7">
        <w:rPr>
          <w:rFonts w:ascii="Helvetica" w:hAnsi="Helvetica"/>
          <w:sz w:val="23"/>
          <w:szCs w:val="23"/>
        </w:rPr>
        <w:t xml:space="preserve"> </w:t>
      </w:r>
      <w:r w:rsidRPr="00B835C7">
        <w:rPr>
          <w:rFonts w:ascii="Helvetica" w:hAnsi="Helvetica"/>
          <w:sz w:val="23"/>
          <w:szCs w:val="23"/>
        </w:rPr>
        <w:t>są zbliż</w:t>
      </w:r>
      <w:r w:rsidRPr="00B835C7">
        <w:rPr>
          <w:rFonts w:ascii="Helvetica" w:hAnsi="Helvetica"/>
          <w:sz w:val="23"/>
          <w:szCs w:val="23"/>
          <w:lang w:val="it-IT"/>
        </w:rPr>
        <w:t>one do</w:t>
      </w:r>
      <w:r w:rsidRPr="00B835C7">
        <w:rPr>
          <w:rFonts w:ascii="Helvetica" w:hAnsi="Helvetica"/>
          <w:sz w:val="23"/>
          <w:szCs w:val="23"/>
        </w:rPr>
        <w:t> </w:t>
      </w:r>
      <w:r w:rsidRPr="00B835C7">
        <w:rPr>
          <w:rFonts w:ascii="Helvetica" w:hAnsi="Helvetica"/>
          <w:sz w:val="23"/>
          <w:szCs w:val="23"/>
          <w:lang w:val="de-DE"/>
        </w:rPr>
        <w:t>ocen wi</w:t>
      </w:r>
      <w:r w:rsidRPr="00B835C7">
        <w:rPr>
          <w:rFonts w:ascii="Helvetica" w:hAnsi="Helvetica"/>
          <w:sz w:val="23"/>
          <w:szCs w:val="23"/>
        </w:rPr>
        <w:t>ększości ekonomist</w:t>
      </w:r>
      <w:r w:rsidRPr="00B835C7">
        <w:rPr>
          <w:rFonts w:ascii="Helvetica" w:hAnsi="Helvetica"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sz w:val="23"/>
          <w:szCs w:val="23"/>
        </w:rPr>
        <w:t>w. Według tych prognoz tempo wzrostu PKB w Polsce w roku 2023 będzie</w:t>
      </w:r>
      <w:r w:rsidR="00012024">
        <w:rPr>
          <w:rFonts w:ascii="Helvetica" w:hAnsi="Helvetica"/>
          <w:sz w:val="23"/>
          <w:szCs w:val="23"/>
        </w:rPr>
        <w:t xml:space="preserve"> </w:t>
      </w:r>
      <w:r w:rsidRPr="00B835C7">
        <w:rPr>
          <w:rFonts w:ascii="Helvetica" w:hAnsi="Helvetica"/>
          <w:sz w:val="23"/>
          <w:szCs w:val="23"/>
        </w:rPr>
        <w:t xml:space="preserve">mieścić się w przedziale od 0 do 1%, </w:t>
      </w:r>
      <w:r w:rsidRPr="00B835C7">
        <w:rPr>
          <w:rFonts w:ascii="Helvetica" w:hAnsi="Helvetica"/>
          <w:b/>
          <w:bCs/>
          <w:sz w:val="23"/>
          <w:szCs w:val="23"/>
        </w:rPr>
        <w:t xml:space="preserve">czyli 3-4 punkty procentowe poniżej średniego tempa w ostatnich 30 latach. </w:t>
      </w:r>
      <w:r w:rsidRPr="00B835C7">
        <w:rPr>
          <w:rFonts w:ascii="Helvetica" w:hAnsi="Helvetica"/>
          <w:sz w:val="23"/>
          <w:szCs w:val="23"/>
        </w:rPr>
        <w:t>W roku 2024 wzrost PKB będzie wyższy o okoł</w:t>
      </w:r>
      <w:r w:rsidRPr="00B835C7">
        <w:rPr>
          <w:rFonts w:ascii="Helvetica" w:hAnsi="Helvetica"/>
          <w:sz w:val="23"/>
          <w:szCs w:val="23"/>
          <w:lang w:val="it-IT"/>
        </w:rPr>
        <w:t>o 2-3</w:t>
      </w:r>
      <w:r w:rsidRPr="00B835C7">
        <w:rPr>
          <w:rFonts w:ascii="Helvetica" w:hAnsi="Helvetica"/>
          <w:sz w:val="23"/>
          <w:szCs w:val="23"/>
        </w:rPr>
        <w:t xml:space="preserve"> % </w:t>
      </w:r>
      <w:r w:rsidR="00C52837" w:rsidRPr="00B835C7">
        <w:rPr>
          <w:rFonts w:ascii="Helvetica" w:hAnsi="Helvetica"/>
          <w:sz w:val="23"/>
          <w:szCs w:val="23"/>
        </w:rPr>
        <w:t>c</w:t>
      </w:r>
      <w:r w:rsidRPr="00B835C7">
        <w:rPr>
          <w:rFonts w:ascii="Helvetica" w:hAnsi="Helvetica"/>
          <w:sz w:val="23"/>
          <w:szCs w:val="23"/>
        </w:rPr>
        <w:t>zyli nadal niższy o około 1-2 % niż długofalowy trend.</w:t>
      </w:r>
      <w:r w:rsidR="00B835C7" w:rsidRPr="00B835C7">
        <w:rPr>
          <w:rFonts w:ascii="Helvetica" w:hAnsi="Helvetica"/>
          <w:sz w:val="23"/>
          <w:szCs w:val="23"/>
        </w:rPr>
        <w:t xml:space="preserve">  </w:t>
      </w:r>
      <w:r w:rsidRPr="00B835C7">
        <w:rPr>
          <w:rFonts w:ascii="Helvetica" w:hAnsi="Helvetica"/>
          <w:sz w:val="23"/>
          <w:szCs w:val="23"/>
        </w:rPr>
        <w:t>Profesor Stanisław Gomułka podkreśla, ż</w:t>
      </w:r>
      <w:r w:rsidRPr="00B835C7">
        <w:rPr>
          <w:rFonts w:ascii="Helvetica" w:hAnsi="Helvetica"/>
          <w:sz w:val="23"/>
          <w:szCs w:val="23"/>
          <w:lang w:val="ru-RU"/>
        </w:rPr>
        <w:t xml:space="preserve">e – </w:t>
      </w:r>
      <w:r w:rsidRPr="00B835C7">
        <w:rPr>
          <w:rFonts w:ascii="Helvetica" w:hAnsi="Helvetica"/>
          <w:b/>
          <w:bCs/>
          <w:i/>
          <w:iCs/>
          <w:sz w:val="23"/>
          <w:szCs w:val="23"/>
        </w:rPr>
        <w:t>duże odchylenia od sytuacji pożądanej dotyczą także deficytu budżetu państwa liczonego według reguł UE, około 3% PKB w roku 2022 oraz 5% w roku 2023. Aby nie doszł</w:t>
      </w:r>
      <w:r w:rsidRPr="00B835C7">
        <w:rPr>
          <w:rFonts w:ascii="Helvetica" w:hAnsi="Helvetica"/>
          <w:b/>
          <w:bCs/>
          <w:i/>
          <w:iCs/>
          <w:sz w:val="23"/>
          <w:szCs w:val="23"/>
          <w:lang w:val="pt-PT"/>
        </w:rPr>
        <w:t>o do</w:t>
      </w:r>
      <w:r w:rsidRPr="00B835C7">
        <w:rPr>
          <w:rFonts w:ascii="Helvetica" w:hAnsi="Helvetica"/>
          <w:b/>
          <w:bCs/>
          <w:i/>
          <w:iCs/>
          <w:sz w:val="23"/>
          <w:szCs w:val="23"/>
        </w:rPr>
        <w:t xml:space="preserve"> przekroczenia przez dług publiczny Państwa liczonego w relacj</w:t>
      </w:r>
      <w:r w:rsidR="00B835C7">
        <w:rPr>
          <w:rFonts w:ascii="Helvetica" w:hAnsi="Helvetica"/>
          <w:b/>
          <w:bCs/>
          <w:i/>
          <w:iCs/>
          <w:sz w:val="23"/>
          <w:szCs w:val="23"/>
        </w:rPr>
        <w:t>i</w:t>
      </w:r>
      <w:r w:rsidRPr="00B835C7">
        <w:rPr>
          <w:rFonts w:ascii="Helvetica" w:hAnsi="Helvetica"/>
          <w:b/>
          <w:bCs/>
          <w:i/>
          <w:iCs/>
          <w:sz w:val="23"/>
          <w:szCs w:val="23"/>
        </w:rPr>
        <w:t xml:space="preserve"> do PKB, konstytucyjnego limitu - 60%, prawdopodobnie potrzebne będzie zaostrzenie polityki fiskalnej w roku 2024 </w:t>
      </w:r>
      <w:r w:rsidRPr="00B835C7">
        <w:rPr>
          <w:rFonts w:ascii="Helvetica" w:hAnsi="Helvetica"/>
          <w:b/>
          <w:bCs/>
          <w:i/>
          <w:iCs/>
          <w:sz w:val="23"/>
          <w:szCs w:val="23"/>
          <w:lang w:val="it-IT"/>
        </w:rPr>
        <w:t>i p</w:t>
      </w:r>
      <w:r w:rsidRPr="00B835C7">
        <w:rPr>
          <w:rFonts w:ascii="Helvetica" w:hAnsi="Helvetica"/>
          <w:b/>
          <w:bCs/>
          <w:i/>
          <w:iCs/>
          <w:sz w:val="23"/>
          <w:szCs w:val="23"/>
        </w:rPr>
        <w:t>óźniej.</w:t>
      </w:r>
      <w:r w:rsidR="00B835C7" w:rsidRPr="00B835C7">
        <w:rPr>
          <w:rFonts w:ascii="Helvetica" w:eastAsia="Helvetica" w:hAnsi="Helvetica" w:cs="Helvetica"/>
          <w:sz w:val="23"/>
          <w:szCs w:val="23"/>
        </w:rPr>
        <w:t xml:space="preserve"> </w:t>
      </w:r>
    </w:p>
    <w:p w14:paraId="2DBB53BB" w14:textId="77777777" w:rsidR="00B835C7" w:rsidRPr="00B835C7" w:rsidRDefault="00B835C7">
      <w:pPr>
        <w:pStyle w:val="TreA"/>
        <w:spacing w:line="336" w:lineRule="auto"/>
        <w:jc w:val="both"/>
        <w:rPr>
          <w:rFonts w:ascii="Helvetica" w:eastAsia="Helvetica" w:hAnsi="Helvetica" w:cs="Helvetica"/>
          <w:sz w:val="23"/>
          <w:szCs w:val="23"/>
        </w:rPr>
      </w:pPr>
    </w:p>
    <w:p w14:paraId="3D304B47" w14:textId="758C984A" w:rsidR="00633C9D" w:rsidRPr="00B835C7" w:rsidRDefault="00000000">
      <w:pPr>
        <w:pStyle w:val="TreA"/>
        <w:spacing w:line="336" w:lineRule="auto"/>
        <w:jc w:val="both"/>
        <w:rPr>
          <w:rFonts w:ascii="Helvetica" w:eastAsia="Helvetica" w:hAnsi="Helvetica" w:cs="Helvetica"/>
          <w:sz w:val="23"/>
          <w:szCs w:val="23"/>
        </w:rPr>
      </w:pPr>
      <w:r w:rsidRPr="00B835C7">
        <w:rPr>
          <w:rFonts w:ascii="Helvetica" w:hAnsi="Helvetica"/>
          <w:sz w:val="23"/>
          <w:szCs w:val="23"/>
          <w:shd w:val="clear" w:color="auto" w:fill="FFFFFF"/>
        </w:rPr>
        <w:t>Wedł</w:t>
      </w:r>
      <w:r w:rsidRPr="00B835C7">
        <w:rPr>
          <w:rFonts w:ascii="Helvetica" w:hAnsi="Helvetica"/>
          <w:sz w:val="23"/>
          <w:szCs w:val="23"/>
          <w:shd w:val="clear" w:color="auto" w:fill="FFFFFF"/>
          <w:lang w:val="en-US"/>
        </w:rPr>
        <w:t xml:space="preserve">ug </w:t>
      </w:r>
      <w:r w:rsidRPr="00B835C7">
        <w:rPr>
          <w:rFonts w:ascii="Helvetica" w:hAnsi="Helvetica"/>
          <w:b/>
          <w:bCs/>
          <w:sz w:val="23"/>
          <w:szCs w:val="23"/>
        </w:rPr>
        <w:t>prof. Stanis</w:t>
      </w:r>
      <w:r w:rsidRPr="00B835C7">
        <w:rPr>
          <w:rFonts w:ascii="Helvetica" w:hAnsi="Helvetica"/>
          <w:b/>
          <w:bCs/>
          <w:sz w:val="23"/>
          <w:szCs w:val="23"/>
          <w:lang w:val="en-US"/>
        </w:rPr>
        <w:t>ł</w:t>
      </w:r>
      <w:r w:rsidRPr="00B835C7">
        <w:rPr>
          <w:rFonts w:ascii="Helvetica" w:hAnsi="Helvetica"/>
          <w:b/>
          <w:bCs/>
          <w:sz w:val="23"/>
          <w:szCs w:val="23"/>
        </w:rPr>
        <w:t>awa</w:t>
      </w:r>
      <w:r w:rsidRPr="00B835C7">
        <w:rPr>
          <w:rFonts w:ascii="Helvetica" w:hAnsi="Helvetica"/>
          <w:b/>
          <w:bCs/>
          <w:sz w:val="23"/>
          <w:szCs w:val="23"/>
          <w:lang w:val="pt-PT"/>
        </w:rPr>
        <w:t xml:space="preserve"> Gomu</w:t>
      </w:r>
      <w:r w:rsidRPr="00B835C7">
        <w:rPr>
          <w:rFonts w:ascii="Helvetica" w:hAnsi="Helvetica"/>
          <w:b/>
          <w:bCs/>
          <w:sz w:val="23"/>
          <w:szCs w:val="23"/>
          <w:lang w:val="en-US"/>
        </w:rPr>
        <w:t>ł</w:t>
      </w:r>
      <w:r w:rsidRPr="00B835C7">
        <w:rPr>
          <w:rFonts w:ascii="Helvetica" w:hAnsi="Helvetica"/>
          <w:b/>
          <w:bCs/>
          <w:sz w:val="23"/>
          <w:szCs w:val="23"/>
        </w:rPr>
        <w:t xml:space="preserve">ki – </w:t>
      </w:r>
      <w:r w:rsidRPr="00B835C7">
        <w:rPr>
          <w:rFonts w:ascii="Helvetica" w:hAnsi="Helvetica"/>
          <w:b/>
          <w:bCs/>
          <w:i/>
          <w:iCs/>
          <w:sz w:val="23"/>
          <w:szCs w:val="23"/>
        </w:rPr>
        <w:t>w roku wyborczym, nowe wzrosty wydatk</w:t>
      </w:r>
      <w:r w:rsidRPr="00B835C7">
        <w:rPr>
          <w:rFonts w:ascii="Helvetica" w:hAnsi="Helvetica"/>
          <w:b/>
          <w:bCs/>
          <w:i/>
          <w:iCs/>
          <w:sz w:val="23"/>
          <w:szCs w:val="23"/>
          <w:lang w:val="es-ES_tradnl"/>
        </w:rPr>
        <w:t>ó</w:t>
      </w:r>
      <w:r w:rsidRPr="00B835C7">
        <w:rPr>
          <w:rFonts w:ascii="Helvetica" w:hAnsi="Helvetica"/>
          <w:b/>
          <w:bCs/>
          <w:i/>
          <w:iCs/>
          <w:sz w:val="23"/>
          <w:szCs w:val="23"/>
        </w:rPr>
        <w:t>w i obietnic wyborczych nakręcających oczekiwania płacowe i popytowe w kolejnym roku mogą być bardzo liczne i znaczące.</w:t>
      </w:r>
    </w:p>
    <w:p w14:paraId="00C4C15B" w14:textId="77777777" w:rsidR="00633C9D" w:rsidRDefault="00633C9D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173A7C61" w14:textId="77777777" w:rsidR="00633C9D" w:rsidRDefault="00000000">
      <w:pPr>
        <w:pStyle w:val="TreA"/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***</w:t>
      </w:r>
    </w:p>
    <w:p w14:paraId="39C2512F" w14:textId="77777777" w:rsidR="00633C9D" w:rsidRDefault="00000000">
      <w:pPr>
        <w:pStyle w:val="TreA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Business Centre Club (BCC)</w:t>
      </w:r>
    </w:p>
    <w:p w14:paraId="6EB1430A" w14:textId="77777777" w:rsidR="00633C9D" w:rsidRDefault="00000000">
      <w:pPr>
        <w:pStyle w:val="TreA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BCC to najwi</w:t>
      </w:r>
      <w:r>
        <w:rPr>
          <w:rFonts w:ascii="Arial" w:hAnsi="Arial"/>
          <w:b/>
          <w:bCs/>
          <w:sz w:val="16"/>
          <w:szCs w:val="16"/>
          <w:lang w:val="en-US"/>
        </w:rPr>
        <w:t>ę</w:t>
      </w:r>
      <w:r>
        <w:rPr>
          <w:rFonts w:ascii="Arial" w:hAnsi="Arial"/>
          <w:b/>
          <w:bCs/>
          <w:sz w:val="16"/>
          <w:szCs w:val="16"/>
        </w:rPr>
        <w:t>ksza w kraju ustawowa organizacja indywidualnych pracodawc</w:t>
      </w:r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>w. Cz</w:t>
      </w:r>
      <w:r>
        <w:rPr>
          <w:rFonts w:ascii="Arial" w:hAnsi="Arial"/>
          <w:b/>
          <w:bCs/>
          <w:sz w:val="16"/>
          <w:szCs w:val="16"/>
          <w:lang w:val="en-US"/>
        </w:rPr>
        <w:t>ł</w:t>
      </w:r>
      <w:r>
        <w:rPr>
          <w:rFonts w:ascii="Arial" w:hAnsi="Arial"/>
          <w:b/>
          <w:bCs/>
          <w:sz w:val="16"/>
          <w:szCs w:val="16"/>
        </w:rPr>
        <w:t>onkowie Klubu zatrudniaj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>ponad 400 tys. pracownik</w:t>
      </w:r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>w, przychody firm to ponad 200 miliard</w:t>
      </w:r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>w z</w:t>
      </w:r>
      <w:r>
        <w:rPr>
          <w:rFonts w:ascii="Arial" w:hAnsi="Arial"/>
          <w:b/>
          <w:bCs/>
          <w:sz w:val="16"/>
          <w:szCs w:val="16"/>
          <w:lang w:val="en-US"/>
        </w:rPr>
        <w:t>ł</w:t>
      </w:r>
      <w:r>
        <w:rPr>
          <w:rFonts w:ascii="Arial" w:hAnsi="Arial"/>
          <w:b/>
          <w:bCs/>
          <w:sz w:val="16"/>
          <w:szCs w:val="16"/>
        </w:rPr>
        <w:t>otych, a siedziby rozlokowane s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>w 250 miastach. Na terenie Polski dzia</w:t>
      </w:r>
      <w:r>
        <w:rPr>
          <w:rFonts w:ascii="Arial" w:hAnsi="Arial"/>
          <w:b/>
          <w:bCs/>
          <w:sz w:val="16"/>
          <w:szCs w:val="16"/>
          <w:lang w:val="en-US"/>
        </w:rPr>
        <w:t>ł</w:t>
      </w:r>
      <w:r>
        <w:rPr>
          <w:rFonts w:ascii="Arial" w:hAnsi="Arial"/>
          <w:b/>
          <w:bCs/>
          <w:sz w:val="16"/>
          <w:szCs w:val="16"/>
        </w:rPr>
        <w:t>aj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>22 lo</w:t>
      </w:r>
      <w:r>
        <w:rPr>
          <w:rFonts w:ascii="Arial" w:hAnsi="Arial"/>
          <w:b/>
          <w:bCs/>
          <w:sz w:val="16"/>
          <w:szCs w:val="16"/>
          <w:lang w:val="en-US"/>
        </w:rPr>
        <w:t>ż</w:t>
      </w:r>
      <w:r>
        <w:rPr>
          <w:rFonts w:ascii="Arial" w:hAnsi="Arial"/>
          <w:b/>
          <w:bCs/>
          <w:sz w:val="16"/>
          <w:szCs w:val="16"/>
        </w:rPr>
        <w:t>e regionalne. Do BCC nale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żą </w:t>
      </w:r>
      <w:r>
        <w:rPr>
          <w:rFonts w:ascii="Arial" w:hAnsi="Arial"/>
          <w:b/>
          <w:bCs/>
          <w:sz w:val="16"/>
          <w:szCs w:val="16"/>
        </w:rPr>
        <w:t>przedstawiciele wszystkich bran</w:t>
      </w:r>
      <w:r>
        <w:rPr>
          <w:rFonts w:ascii="Arial" w:hAnsi="Arial"/>
          <w:b/>
          <w:bCs/>
          <w:sz w:val="16"/>
          <w:szCs w:val="16"/>
          <w:lang w:val="en-US"/>
        </w:rPr>
        <w:t>ż</w:t>
      </w:r>
      <w:r>
        <w:rPr>
          <w:rFonts w:ascii="Arial" w:hAnsi="Arial"/>
          <w:b/>
          <w:bCs/>
          <w:sz w:val="16"/>
          <w:szCs w:val="16"/>
        </w:rPr>
        <w:t>, mi</w:t>
      </w:r>
      <w:r>
        <w:rPr>
          <w:rFonts w:ascii="Arial" w:hAnsi="Arial"/>
          <w:b/>
          <w:bCs/>
          <w:sz w:val="16"/>
          <w:szCs w:val="16"/>
          <w:lang w:val="en-US"/>
        </w:rPr>
        <w:t>ę</w:t>
      </w:r>
      <w:r>
        <w:rPr>
          <w:rFonts w:ascii="Arial" w:hAnsi="Arial"/>
          <w:b/>
          <w:bCs/>
          <w:sz w:val="16"/>
          <w:szCs w:val="16"/>
        </w:rPr>
        <w:t>dzynarodowe korporacje, instytucje finansowe i ubezpieczeniowe, firmy telekomunikacyjne, najwi</w:t>
      </w:r>
      <w:r>
        <w:rPr>
          <w:rFonts w:ascii="Arial" w:hAnsi="Arial"/>
          <w:b/>
          <w:bCs/>
          <w:sz w:val="16"/>
          <w:szCs w:val="16"/>
          <w:lang w:val="en-US"/>
        </w:rPr>
        <w:t>ę</w:t>
      </w:r>
      <w:r>
        <w:rPr>
          <w:rFonts w:ascii="Arial" w:hAnsi="Arial"/>
          <w:b/>
          <w:bCs/>
          <w:sz w:val="16"/>
          <w:szCs w:val="16"/>
        </w:rPr>
        <w:t>ksi polscy producenci, uczelnie wy</w:t>
      </w:r>
      <w:r>
        <w:rPr>
          <w:rFonts w:ascii="Arial" w:hAnsi="Arial"/>
          <w:b/>
          <w:bCs/>
          <w:sz w:val="16"/>
          <w:szCs w:val="16"/>
          <w:lang w:val="en-US"/>
        </w:rPr>
        <w:t>ż</w:t>
      </w:r>
      <w:r>
        <w:rPr>
          <w:rFonts w:ascii="Arial" w:hAnsi="Arial"/>
          <w:b/>
          <w:bCs/>
          <w:sz w:val="16"/>
          <w:szCs w:val="16"/>
        </w:rPr>
        <w:t>sze, koncerny wydawnicze i znane kancelarie prawne. Cz</w:t>
      </w:r>
      <w:r>
        <w:rPr>
          <w:rFonts w:ascii="Arial" w:hAnsi="Arial"/>
          <w:b/>
          <w:bCs/>
          <w:sz w:val="16"/>
          <w:szCs w:val="16"/>
          <w:lang w:val="en-US"/>
        </w:rPr>
        <w:t>ł</w:t>
      </w:r>
      <w:r>
        <w:rPr>
          <w:rFonts w:ascii="Arial" w:hAnsi="Arial"/>
          <w:b/>
          <w:bCs/>
          <w:sz w:val="16"/>
          <w:szCs w:val="16"/>
        </w:rPr>
        <w:t xml:space="preserve">onkami BCC 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– </w:t>
      </w:r>
      <w:r>
        <w:rPr>
          <w:rFonts w:ascii="Arial" w:hAnsi="Arial"/>
          <w:b/>
          <w:bCs/>
          <w:sz w:val="16"/>
          <w:szCs w:val="16"/>
        </w:rPr>
        <w:t>klubu przedsi</w:t>
      </w:r>
      <w:r>
        <w:rPr>
          <w:rFonts w:ascii="Arial" w:hAnsi="Arial"/>
          <w:b/>
          <w:bCs/>
          <w:sz w:val="16"/>
          <w:szCs w:val="16"/>
          <w:lang w:val="en-US"/>
        </w:rPr>
        <w:t>ę</w:t>
      </w:r>
      <w:r>
        <w:rPr>
          <w:rFonts w:ascii="Arial" w:hAnsi="Arial"/>
          <w:b/>
          <w:bCs/>
          <w:sz w:val="16"/>
          <w:szCs w:val="16"/>
        </w:rPr>
        <w:t>biorc</w:t>
      </w:r>
      <w:r>
        <w:rPr>
          <w:rFonts w:ascii="Arial" w:hAnsi="Arial"/>
          <w:b/>
          <w:bCs/>
          <w:sz w:val="16"/>
          <w:szCs w:val="16"/>
          <w:lang w:val="en-US"/>
        </w:rPr>
        <w:t>ó</w:t>
      </w:r>
      <w:r>
        <w:rPr>
          <w:rFonts w:ascii="Arial" w:hAnsi="Arial"/>
          <w:b/>
          <w:bCs/>
          <w:sz w:val="16"/>
          <w:szCs w:val="16"/>
        </w:rPr>
        <w:t>w s</w:t>
      </w:r>
      <w:r>
        <w:rPr>
          <w:rFonts w:ascii="Arial" w:hAnsi="Arial"/>
          <w:b/>
          <w:bCs/>
          <w:sz w:val="16"/>
          <w:szCs w:val="16"/>
          <w:lang w:val="en-US"/>
        </w:rPr>
        <w:t xml:space="preserve">ą </w:t>
      </w:r>
      <w:r>
        <w:rPr>
          <w:rFonts w:ascii="Arial" w:hAnsi="Arial"/>
          <w:b/>
          <w:bCs/>
          <w:sz w:val="16"/>
          <w:szCs w:val="16"/>
        </w:rPr>
        <w:t>tak</w:t>
      </w:r>
      <w:r>
        <w:rPr>
          <w:rFonts w:ascii="Arial" w:hAnsi="Arial"/>
          <w:b/>
          <w:bCs/>
          <w:sz w:val="16"/>
          <w:szCs w:val="16"/>
          <w:lang w:val="en-US"/>
        </w:rPr>
        <w:t>ż</w:t>
      </w:r>
      <w:r>
        <w:rPr>
          <w:rFonts w:ascii="Arial" w:hAnsi="Arial"/>
          <w:b/>
          <w:bCs/>
          <w:sz w:val="16"/>
          <w:szCs w:val="16"/>
        </w:rPr>
        <w:t xml:space="preserve">e prawnicy, dziennikarze, naukowcy, wydawcy, lekarze, wojskowi i studenci. </w:t>
      </w:r>
    </w:p>
    <w:p w14:paraId="2165B964" w14:textId="77777777" w:rsidR="00633C9D" w:rsidRDefault="00000000">
      <w:pPr>
        <w:pStyle w:val="TreA"/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de-DE"/>
        </w:rPr>
        <w:t>Wi</w:t>
      </w:r>
      <w:r>
        <w:rPr>
          <w:rFonts w:ascii="Arial" w:hAnsi="Arial"/>
          <w:b/>
          <w:bCs/>
          <w:sz w:val="16"/>
          <w:szCs w:val="16"/>
          <w:lang w:val="en-US"/>
        </w:rPr>
        <w:t>ę</w:t>
      </w:r>
      <w:r>
        <w:rPr>
          <w:rFonts w:ascii="Arial" w:hAnsi="Arial"/>
          <w:b/>
          <w:bCs/>
          <w:sz w:val="16"/>
          <w:szCs w:val="16"/>
        </w:rPr>
        <w:t>cej o BCC:</w:t>
      </w:r>
    </w:p>
    <w:p w14:paraId="5685F463" w14:textId="77777777" w:rsidR="00633C9D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hyperlink r:id="rId7" w:history="1">
        <w:r>
          <w:rPr>
            <w:rStyle w:val="Hyperlink0"/>
          </w:rPr>
          <w:t>www.bcc.org.pl</w:t>
        </w:r>
      </w:hyperlink>
    </w:p>
    <w:p w14:paraId="6BFD699B" w14:textId="77777777" w:rsidR="00633C9D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Business Centre Club w mediach spo</w:t>
      </w:r>
      <w:r>
        <w:rPr>
          <w:rStyle w:val="Brak"/>
          <w:rFonts w:ascii="Arial" w:hAnsi="Arial"/>
          <w:b/>
          <w:bCs/>
          <w:sz w:val="16"/>
          <w:szCs w:val="16"/>
          <w:lang w:val="en-US"/>
        </w:rPr>
        <w:t>ł</w:t>
      </w:r>
      <w:r>
        <w:rPr>
          <w:rStyle w:val="Brak"/>
          <w:rFonts w:ascii="Arial" w:hAnsi="Arial"/>
          <w:b/>
          <w:bCs/>
          <w:sz w:val="16"/>
          <w:szCs w:val="16"/>
        </w:rPr>
        <w:t>eczno</w:t>
      </w:r>
      <w:r>
        <w:rPr>
          <w:rStyle w:val="Brak"/>
          <w:rFonts w:ascii="Arial" w:hAnsi="Arial"/>
          <w:b/>
          <w:bCs/>
          <w:sz w:val="16"/>
          <w:szCs w:val="16"/>
          <w:lang w:val="en-US"/>
        </w:rPr>
        <w:t>ś</w:t>
      </w:r>
      <w:r>
        <w:rPr>
          <w:rStyle w:val="Brak"/>
          <w:rFonts w:ascii="Arial" w:hAnsi="Arial"/>
          <w:b/>
          <w:bCs/>
          <w:sz w:val="16"/>
          <w:szCs w:val="16"/>
        </w:rPr>
        <w:t>ciowych:</w:t>
      </w:r>
    </w:p>
    <w:p w14:paraId="73C951DF" w14:textId="77777777" w:rsidR="00633C9D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Linkedin: </w:t>
      </w:r>
      <w:hyperlink r:id="rId8" w:history="1">
        <w:r>
          <w:rPr>
            <w:rStyle w:val="Hyperlink1"/>
          </w:rPr>
          <w:t>www.linkedin.com/company/business-centre-club/</w:t>
        </w:r>
      </w:hyperlink>
    </w:p>
    <w:p w14:paraId="0D56CDE1" w14:textId="77777777" w:rsidR="00633C9D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lang w:val="nl-NL"/>
        </w:rPr>
        <w:t xml:space="preserve">Facebook: </w:t>
      </w:r>
      <w:hyperlink r:id="rId9" w:history="1">
        <w:r>
          <w:rPr>
            <w:rStyle w:val="Hyperlink2"/>
          </w:rPr>
          <w:t>www.facebook.com/businesscentreclub</w:t>
        </w:r>
      </w:hyperlink>
    </w:p>
    <w:p w14:paraId="5624D993" w14:textId="77777777" w:rsidR="00633C9D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sz w:val="16"/>
          <w:szCs w:val="16"/>
          <w:lang w:val="en-US"/>
        </w:rPr>
        <w:t xml:space="preserve">Twitter: </w:t>
      </w:r>
      <w:r>
        <w:rPr>
          <w:rStyle w:val="Hyperlink0"/>
        </w:rPr>
        <w:t>www.twitter.com/BCCorg</w:t>
      </w:r>
    </w:p>
    <w:p w14:paraId="5EBBB604" w14:textId="77777777" w:rsidR="00633C9D" w:rsidRDefault="00633C9D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</w:p>
    <w:p w14:paraId="62429A95" w14:textId="77777777" w:rsidR="00633C9D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>Kontakt dla medi</w:t>
      </w: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>w:</w:t>
      </w:r>
    </w:p>
    <w:p w14:paraId="30312BE2" w14:textId="77777777" w:rsidR="00633C9D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  <w:lang w:val="en-US"/>
        </w:rPr>
        <w:t>Open Minded Group</w:t>
      </w:r>
    </w:p>
    <w:p w14:paraId="696D4A33" w14:textId="77777777" w:rsidR="00633C9D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hyperlink r:id="rId10" w:history="1">
        <w:r>
          <w:rPr>
            <w:rStyle w:val="Hyperlink3"/>
          </w:rPr>
          <w:t>pr@openmindedgroup.pl</w:t>
        </w:r>
      </w:hyperlink>
    </w:p>
    <w:p w14:paraId="20C48336" w14:textId="77777777" w:rsidR="00633C9D" w:rsidRDefault="00633C9D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</w:p>
    <w:p w14:paraId="2DEA6BAF" w14:textId="77777777" w:rsidR="00633C9D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BCC</w:t>
      </w:r>
    </w:p>
    <w:p w14:paraId="1531F3D7" w14:textId="77777777" w:rsidR="00633C9D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Renata Stefanowska</w:t>
      </w:r>
    </w:p>
    <w:p w14:paraId="38643BB9" w14:textId="77777777" w:rsidR="00633C9D" w:rsidRDefault="00000000">
      <w:pPr>
        <w:pStyle w:val="TreA"/>
        <w:spacing w:line="360" w:lineRule="auto"/>
        <w:jc w:val="both"/>
      </w:pPr>
      <w:hyperlink r:id="rId11" w:history="1">
        <w:r>
          <w:rPr>
            <w:rStyle w:val="Hyperlink0"/>
          </w:rPr>
          <w:t>renata.stefanowska@bcc.pl</w:t>
        </w:r>
      </w:hyperlink>
    </w:p>
    <w:sectPr w:rsidR="00633C9D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EF1B" w14:textId="77777777" w:rsidR="00530B68" w:rsidRDefault="00530B68">
      <w:r>
        <w:separator/>
      </w:r>
    </w:p>
  </w:endnote>
  <w:endnote w:type="continuationSeparator" w:id="0">
    <w:p w14:paraId="2C9A66E7" w14:textId="77777777" w:rsidR="00530B68" w:rsidRDefault="0053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8D7" w14:textId="77777777" w:rsidR="00633C9D" w:rsidRDefault="00633C9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DBD1" w14:textId="77777777" w:rsidR="00530B68" w:rsidRDefault="00530B68">
      <w:r>
        <w:separator/>
      </w:r>
    </w:p>
  </w:footnote>
  <w:footnote w:type="continuationSeparator" w:id="0">
    <w:p w14:paraId="7674F8BA" w14:textId="77777777" w:rsidR="00530B68" w:rsidRDefault="0053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6892" w14:textId="77777777" w:rsidR="00633C9D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9D"/>
    <w:rsid w:val="00012024"/>
    <w:rsid w:val="00083B05"/>
    <w:rsid w:val="00396B92"/>
    <w:rsid w:val="00530B68"/>
    <w:rsid w:val="00633C9D"/>
    <w:rsid w:val="009B77CF"/>
    <w:rsid w:val="00A75957"/>
    <w:rsid w:val="00B835C7"/>
    <w:rsid w:val="00C5130D"/>
    <w:rsid w:val="00C5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CB20"/>
  <w15:docId w15:val="{331D36B4-BA53-43E8-913E-EC8695AB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sz w:val="16"/>
      <w:szCs w:val="16"/>
      <w:u w:val="single"/>
    </w:rPr>
  </w:style>
  <w:style w:type="character" w:customStyle="1" w:styleId="Hyperlink1">
    <w:name w:val="Hyperlink.1"/>
    <w:basedOn w:val="Brak"/>
    <w:rPr>
      <w:rFonts w:ascii="Arial" w:eastAsia="Arial" w:hAnsi="Arial" w:cs="Arial"/>
      <w:sz w:val="16"/>
      <w:szCs w:val="16"/>
      <w:u w:val="single"/>
      <w:lang w:val="en-US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/>
      <w:lang w:val="it-IT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enata.stefanowska@bcc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r@openmindedgrou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businesscentrecl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647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Seges-Ślepowrońska</cp:lastModifiedBy>
  <cp:revision>7</cp:revision>
  <dcterms:created xsi:type="dcterms:W3CDTF">2023-03-15T15:30:00Z</dcterms:created>
  <dcterms:modified xsi:type="dcterms:W3CDTF">2023-03-15T15:52:00Z</dcterms:modified>
</cp:coreProperties>
</file>