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AC65B" w14:textId="77777777" w:rsidR="001A17A3" w:rsidRDefault="00000000">
      <w:pPr>
        <w:suppressAutoHyphens/>
        <w:spacing w:after="0" w:line="240" w:lineRule="auto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noProof/>
          <w:shd w:val="clear" w:color="auto" w:fill="FFFFFF"/>
        </w:rPr>
        <w:drawing>
          <wp:inline distT="0" distB="0" distL="0" distR="0" wp14:anchorId="6A94E2DE" wp14:editId="6CD05628">
            <wp:extent cx="2971545" cy="1082040"/>
            <wp:effectExtent l="0" t="0" r="0" b="0"/>
            <wp:docPr id="1073741825" name="officeArt object" descr="Obraz zawierający tekst, Czcionka, logo, Grafi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zawierający tekst, Czcionka, logo, Grafika&#10;&#10;Opis wygenerowany automatycznie" descr="Obraz zawierający tekst, Czcionka, logo, GrafikaOpis wygenerowany automatyczni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545" cy="1082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F8631DF" wp14:editId="2A33FCDF">
                <wp:simplePos x="0" y="0"/>
                <wp:positionH relativeFrom="page">
                  <wp:posOffset>3688079</wp:posOffset>
                </wp:positionH>
                <wp:positionV relativeFrom="page">
                  <wp:posOffset>284479</wp:posOffset>
                </wp:positionV>
                <wp:extent cx="3175000" cy="2614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5.06.2023 Warsza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614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CC9C7A" w14:textId="77777777" w:rsidR="001A17A3" w:rsidRDefault="00000000">
                            <w:pPr>
                              <w:shd w:val="clear" w:color="auto" w:fill="FFFFFF"/>
                              <w:spacing w:after="0" w:line="288" w:lineRule="auto"/>
                              <w:ind w:firstLine="708"/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Warszawa, dnia 30 kwietnia 2024 r.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631D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5.06.2023 Warszaw" style="position:absolute;left:0;text-align:left;margin-left:290.4pt;margin-top:22.4pt;width:250pt;height:20.6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52 21596 -52 21596 21495 -4 21495 -4 -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" filled="f" stroked="f" strokeweight="1pt">
                <v:stroke miterlimit="4"/>
                <v:textbox inset="1.2699mm,1.2699mm,1.2699mm,1.2699mm">
                  <w:txbxContent>
                    <w:p w14:paraId="47CC9C7A" w14:textId="77777777" w:rsidR="001A17A3" w:rsidRDefault="00000000">
                      <w:pPr>
                        <w:shd w:val="clear" w:color="auto" w:fill="FFFFFF"/>
                        <w:spacing w:after="0" w:line="288" w:lineRule="auto"/>
                        <w:ind w:firstLine="708"/>
                        <w:jc w:val="right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Warszawa, dnia 30 kwietnia 2024 r.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2B87922" w14:textId="77777777" w:rsidR="001A17A3" w:rsidRDefault="001A17A3">
      <w:pPr>
        <w:suppressAutoHyphens/>
        <w:spacing w:before="20" w:after="0" w:line="240" w:lineRule="auto"/>
        <w:jc w:val="center"/>
        <w:rPr>
          <w:rFonts w:ascii="Arial" w:eastAsia="Arial" w:hAnsi="Arial" w:cs="Arial"/>
          <w:caps/>
          <w:color w:val="BE1E2D"/>
          <w:u w:color="BE1E2D"/>
          <w:shd w:val="clear" w:color="auto" w:fill="FFFFFF"/>
        </w:rPr>
      </w:pPr>
    </w:p>
    <w:p w14:paraId="0A0BF2A9" w14:textId="77777777" w:rsidR="001A17A3" w:rsidRDefault="001A17A3">
      <w:pPr>
        <w:suppressAutoHyphens/>
        <w:spacing w:before="20" w:after="0" w:line="240" w:lineRule="auto"/>
        <w:jc w:val="center"/>
        <w:rPr>
          <w:rFonts w:ascii="Arial" w:eastAsia="Arial" w:hAnsi="Arial" w:cs="Arial"/>
          <w:caps/>
          <w:color w:val="BE1E2D"/>
          <w:u w:color="BE1E2D"/>
          <w:shd w:val="clear" w:color="auto" w:fill="FFFFFF"/>
        </w:rPr>
      </w:pPr>
    </w:p>
    <w:p w14:paraId="0768E0B1" w14:textId="77777777" w:rsidR="001A17A3" w:rsidRDefault="00000000">
      <w:pPr>
        <w:suppressAutoHyphens/>
        <w:spacing w:before="20" w:after="0" w:line="240" w:lineRule="auto"/>
        <w:jc w:val="center"/>
        <w:rPr>
          <w:rFonts w:ascii="Arial Black" w:eastAsia="Arial Black" w:hAnsi="Arial Black" w:cs="Arial Black"/>
          <w:caps/>
          <w:color w:val="BE1E2D"/>
          <w:sz w:val="28"/>
          <w:szCs w:val="28"/>
          <w:u w:color="BE1E2D"/>
          <w:shd w:val="clear" w:color="auto" w:fill="FFFFFF"/>
        </w:rPr>
      </w:pPr>
      <w:r>
        <w:rPr>
          <w:rFonts w:ascii="Arial Black" w:hAnsi="Arial Black"/>
          <w:caps/>
          <w:color w:val="BE1E2D"/>
          <w:sz w:val="28"/>
          <w:szCs w:val="28"/>
          <w:u w:color="BE1E2D"/>
          <w:shd w:val="clear" w:color="auto" w:fill="FFFFFF"/>
          <w:lang w:val="de-DE"/>
        </w:rPr>
        <w:t>WDRO</w:t>
      </w:r>
      <w:r>
        <w:rPr>
          <w:rFonts w:ascii="Arial Black" w:hAnsi="Arial Black"/>
          <w:caps/>
          <w:color w:val="BE1E2D"/>
          <w:sz w:val="28"/>
          <w:szCs w:val="28"/>
          <w:u w:color="BE1E2D"/>
          <w:shd w:val="clear" w:color="auto" w:fill="FFFFFF"/>
        </w:rPr>
        <w:t>Ż</w:t>
      </w:r>
      <w:r>
        <w:rPr>
          <w:rFonts w:ascii="Arial Black" w:hAnsi="Arial Black"/>
          <w:caps/>
          <w:color w:val="BE1E2D"/>
          <w:sz w:val="28"/>
          <w:szCs w:val="28"/>
          <w:u w:color="BE1E2D"/>
          <w:shd w:val="clear" w:color="auto" w:fill="FFFFFF"/>
          <w:lang w:val="de-DE"/>
        </w:rPr>
        <w:t xml:space="preserve">ENIE </w:t>
      </w:r>
      <w:r>
        <w:rPr>
          <w:rFonts w:ascii="Arial Black" w:hAnsi="Arial Black"/>
          <w:caps/>
          <w:color w:val="BE1E2D"/>
          <w:sz w:val="28"/>
          <w:szCs w:val="28"/>
          <w:u w:color="BE1E2D"/>
          <w:shd w:val="clear" w:color="auto" w:fill="FFFFFF"/>
        </w:rPr>
        <w:t xml:space="preserve">OBLIGATORYJNEGO </w:t>
      </w:r>
      <w:proofErr w:type="spellStart"/>
      <w:r>
        <w:rPr>
          <w:rFonts w:ascii="Arial Black" w:hAnsi="Arial Black"/>
          <w:color w:val="BE1E2D"/>
          <w:sz w:val="28"/>
          <w:szCs w:val="28"/>
          <w:u w:color="BE1E2D"/>
          <w:shd w:val="clear" w:color="auto" w:fill="FFFFFF"/>
        </w:rPr>
        <w:t>KSeF</w:t>
      </w:r>
      <w:proofErr w:type="spellEnd"/>
      <w:r>
        <w:rPr>
          <w:rFonts w:ascii="Arial Black" w:hAnsi="Arial Black"/>
          <w:caps/>
          <w:color w:val="BE1E2D"/>
          <w:sz w:val="28"/>
          <w:szCs w:val="28"/>
          <w:u w:color="BE1E2D"/>
          <w:shd w:val="clear" w:color="auto" w:fill="FFFFFF"/>
        </w:rPr>
        <w:t xml:space="preserve">. </w:t>
      </w:r>
    </w:p>
    <w:p w14:paraId="5D80889E" w14:textId="77777777" w:rsidR="001A17A3" w:rsidRDefault="00000000">
      <w:pPr>
        <w:suppressAutoHyphens/>
        <w:spacing w:before="20" w:after="0" w:line="240" w:lineRule="auto"/>
        <w:jc w:val="center"/>
        <w:rPr>
          <w:rFonts w:ascii="Arial Black" w:eastAsia="Arial Black" w:hAnsi="Arial Black" w:cs="Arial Black"/>
          <w:caps/>
          <w:color w:val="BE1E2D"/>
          <w:sz w:val="28"/>
          <w:szCs w:val="28"/>
          <w:u w:color="BE1E2D"/>
          <w:shd w:val="clear" w:color="auto" w:fill="FFFFFF"/>
        </w:rPr>
      </w:pPr>
      <w:r>
        <w:rPr>
          <w:rFonts w:ascii="Arial Black" w:hAnsi="Arial Black"/>
          <w:caps/>
          <w:color w:val="BE1E2D"/>
          <w:sz w:val="28"/>
          <w:szCs w:val="28"/>
          <w:u w:color="BE1E2D"/>
          <w:shd w:val="clear" w:color="auto" w:fill="FFFFFF"/>
        </w:rPr>
        <w:t>Opinia BCC.</w:t>
      </w:r>
    </w:p>
    <w:p w14:paraId="2705F695" w14:textId="77777777" w:rsidR="001A17A3" w:rsidRDefault="001A17A3">
      <w:pPr>
        <w:suppressAutoHyphens/>
        <w:spacing w:before="20" w:after="0" w:line="240" w:lineRule="auto"/>
        <w:jc w:val="center"/>
        <w:rPr>
          <w:rFonts w:ascii="Arial" w:eastAsia="Arial" w:hAnsi="Arial" w:cs="Arial"/>
          <w:caps/>
          <w:color w:val="BE1E2D"/>
          <w:u w:color="BE1E2D"/>
          <w:shd w:val="clear" w:color="auto" w:fill="FFFFFF"/>
        </w:rPr>
      </w:pPr>
    </w:p>
    <w:p w14:paraId="2AD17C29" w14:textId="77777777" w:rsidR="001A17A3" w:rsidRDefault="001A17A3">
      <w:pPr>
        <w:shd w:val="clear" w:color="auto" w:fill="FFFFFF"/>
        <w:suppressAutoHyphens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4194F60E" w14:textId="43C6BBF3" w:rsidR="001A17A3" w:rsidRDefault="00000000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Business Centre Club popiera wdrożenie systemu </w:t>
      </w:r>
      <w:proofErr w:type="spellStart"/>
      <w:r>
        <w:rPr>
          <w:rFonts w:ascii="Arial" w:hAnsi="Arial"/>
          <w:b/>
          <w:bCs/>
        </w:rPr>
        <w:t>KSeF</w:t>
      </w:r>
      <w:proofErr w:type="spellEnd"/>
      <w:r>
        <w:rPr>
          <w:rFonts w:ascii="Arial" w:hAnsi="Arial"/>
          <w:b/>
          <w:bCs/>
        </w:rPr>
        <w:t xml:space="preserve"> jednocześnie dla wszystkich podatnik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w. Dzięki temu rozwiązaniu, wszyscy podatnicy będą mogli dostosować swoje procesy w tym samym czasie, co zwiększa przewidywalność oraz r</w:t>
      </w:r>
      <w:r>
        <w:rPr>
          <w:rFonts w:ascii="Arial" w:hAnsi="Arial"/>
          <w:b/>
          <w:bCs/>
          <w:lang w:val="es-ES_tradnl"/>
        </w:rPr>
        <w:t>ó</w:t>
      </w:r>
      <w:proofErr w:type="spellStart"/>
      <w:r>
        <w:rPr>
          <w:rFonts w:ascii="Arial" w:hAnsi="Arial"/>
          <w:b/>
          <w:bCs/>
        </w:rPr>
        <w:t>wność</w:t>
      </w:r>
      <w:proofErr w:type="spellEnd"/>
      <w:r>
        <w:rPr>
          <w:rFonts w:ascii="Arial" w:hAnsi="Arial"/>
          <w:b/>
          <w:bCs/>
        </w:rPr>
        <w:t xml:space="preserve"> w traktowaniu podmiot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w gospodarczych.</w:t>
      </w:r>
    </w:p>
    <w:p w14:paraId="0AB043AB" w14:textId="77777777" w:rsidR="001A17A3" w:rsidRDefault="001A17A3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  <w:b/>
          <w:bCs/>
        </w:rPr>
      </w:pPr>
    </w:p>
    <w:p w14:paraId="27209CA9" w14:textId="3FA57D64" w:rsidR="001A17A3" w:rsidRDefault="00000000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Zastosowanie jednolitej daty wprowadzenia systemu eliminuje ryzyko niepewności oraz potrzebę częstych weryfikacji statusu </w:t>
      </w:r>
      <w:proofErr w:type="spellStart"/>
      <w:r>
        <w:rPr>
          <w:rFonts w:ascii="Arial" w:hAnsi="Arial"/>
        </w:rPr>
        <w:t>nabywc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faktur, które w obecnie obowiązującej ustawie wdrażającej obligatoryjny </w:t>
      </w:r>
      <w:proofErr w:type="spellStart"/>
      <w:r>
        <w:rPr>
          <w:rFonts w:ascii="Arial" w:hAnsi="Arial"/>
        </w:rPr>
        <w:t>KSeF</w:t>
      </w:r>
      <w:proofErr w:type="spellEnd"/>
      <w:r>
        <w:rPr>
          <w:rFonts w:ascii="Arial" w:hAnsi="Arial"/>
        </w:rPr>
        <w:t xml:space="preserve">, mogło prowadzić </w:t>
      </w:r>
      <w:r>
        <w:rPr>
          <w:rFonts w:ascii="Arial" w:hAnsi="Arial"/>
          <w:lang w:val="pt-PT"/>
        </w:rPr>
        <w:t>do b</w:t>
      </w:r>
      <w:proofErr w:type="spellStart"/>
      <w:r>
        <w:rPr>
          <w:rFonts w:ascii="Arial" w:hAnsi="Arial"/>
        </w:rPr>
        <w:t>łęd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i </w:t>
      </w:r>
      <w:proofErr w:type="spellStart"/>
      <w:r>
        <w:rPr>
          <w:rFonts w:ascii="Arial" w:hAnsi="Arial"/>
        </w:rPr>
        <w:t>niejasnoś</w:t>
      </w:r>
      <w:proofErr w:type="spellEnd"/>
      <w:r>
        <w:rPr>
          <w:rFonts w:ascii="Arial" w:hAnsi="Arial"/>
          <w:lang w:val="it-IT"/>
        </w:rPr>
        <w:t xml:space="preserve">ci </w:t>
      </w:r>
      <w:r>
        <w:rPr>
          <w:rFonts w:ascii="Arial" w:hAnsi="Arial"/>
        </w:rPr>
        <w:t xml:space="preserve"> w procesach fakturowania.</w:t>
      </w:r>
    </w:p>
    <w:p w14:paraId="2926D94F" w14:textId="28BE4096" w:rsidR="001A17A3" w:rsidRDefault="00000000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BCC popiera decyzję o wprowadzeniu okresu przejściowego, odraczającego sankcje czy </w:t>
      </w:r>
      <w:proofErr w:type="spellStart"/>
      <w:r>
        <w:rPr>
          <w:rFonts w:ascii="Arial" w:hAnsi="Arial"/>
        </w:rPr>
        <w:t>wym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g podawania numeru </w:t>
      </w:r>
      <w:proofErr w:type="spellStart"/>
      <w:r>
        <w:rPr>
          <w:rFonts w:ascii="Arial" w:hAnsi="Arial"/>
        </w:rPr>
        <w:t>KSeF</w:t>
      </w:r>
      <w:proofErr w:type="spellEnd"/>
      <w:r>
        <w:rPr>
          <w:rFonts w:ascii="Arial" w:hAnsi="Arial"/>
        </w:rPr>
        <w:t xml:space="preserve"> w przypadku płatności, w tym tych, realizowanych w ramach mechanizmu podzielonej płatności. Organizacja </w:t>
      </w:r>
      <w:proofErr w:type="spellStart"/>
      <w:r>
        <w:rPr>
          <w:rFonts w:ascii="Arial" w:hAnsi="Arial"/>
        </w:rPr>
        <w:t>pracodawc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popiera też  zastosowanie okresu przejściowego dla faktur wystawianych w trybie offline. Takie rozwiązania ułatwią przedsiębiorcom stopniowe przystosowanie się do nowych wymagań systemu </w:t>
      </w:r>
      <w:proofErr w:type="spellStart"/>
      <w:r>
        <w:rPr>
          <w:rFonts w:ascii="Arial" w:hAnsi="Arial"/>
        </w:rPr>
        <w:t>KSeF</w:t>
      </w:r>
      <w:proofErr w:type="spellEnd"/>
      <w:r>
        <w:rPr>
          <w:rFonts w:ascii="Arial" w:hAnsi="Arial"/>
        </w:rPr>
        <w:t xml:space="preserve">, a w przypadku faktur offline wyeliminują konieczność zbierania dodatkowych </w:t>
      </w:r>
      <w:proofErr w:type="spellStart"/>
      <w:r>
        <w:rPr>
          <w:rFonts w:ascii="Arial" w:hAnsi="Arial"/>
        </w:rPr>
        <w:t>dowod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potwierdzających zasadność skorzystania z tego trybu. </w:t>
      </w:r>
    </w:p>
    <w:p w14:paraId="526B8457" w14:textId="218F0F1C" w:rsidR="001A17A3" w:rsidRDefault="00000000">
      <w:pPr>
        <w:numPr>
          <w:ilvl w:val="0"/>
          <w:numId w:val="2"/>
        </w:numPr>
        <w:shd w:val="clear" w:color="auto" w:fill="FFFFFF"/>
        <w:suppressAutoHyphens/>
        <w:spacing w:after="0" w:line="288" w:lineRule="auto"/>
        <w:jc w:val="both"/>
        <w:rPr>
          <w:rFonts w:ascii="Arial" w:hAnsi="Arial"/>
        </w:rPr>
      </w:pPr>
      <w:r>
        <w:rPr>
          <w:rFonts w:ascii="Arial" w:hAnsi="Arial"/>
          <w:i/>
          <w:iCs/>
        </w:rPr>
        <w:t xml:space="preserve">Warto jednak rozważyć, czy </w:t>
      </w:r>
      <w:proofErr w:type="spellStart"/>
      <w:r>
        <w:rPr>
          <w:rFonts w:ascii="Arial" w:hAnsi="Arial"/>
          <w:i/>
          <w:iCs/>
        </w:rPr>
        <w:t>wym</w:t>
      </w:r>
      <w:proofErr w:type="spellEnd"/>
      <w:r>
        <w:rPr>
          <w:rFonts w:ascii="Arial" w:hAnsi="Arial"/>
          <w:i/>
          <w:iCs/>
          <w:lang w:val="es-ES_tradnl"/>
        </w:rPr>
        <w:t>ó</w:t>
      </w:r>
      <w:r>
        <w:rPr>
          <w:rFonts w:ascii="Arial" w:hAnsi="Arial"/>
          <w:i/>
          <w:iCs/>
        </w:rPr>
        <w:t xml:space="preserve">g przekazania takich faktur do </w:t>
      </w:r>
      <w:proofErr w:type="spellStart"/>
      <w:r>
        <w:rPr>
          <w:rFonts w:ascii="Arial" w:hAnsi="Arial"/>
          <w:i/>
          <w:iCs/>
        </w:rPr>
        <w:t>KSeF</w:t>
      </w:r>
      <w:proofErr w:type="spellEnd"/>
      <w:r>
        <w:rPr>
          <w:rFonts w:ascii="Arial" w:hAnsi="Arial"/>
          <w:i/>
          <w:iCs/>
        </w:rPr>
        <w:t xml:space="preserve"> już następnego dnia roboczego jest uzasadniony</w:t>
      </w:r>
      <w:r>
        <w:rPr>
          <w:rStyle w:val="BrakA"/>
          <w:rFonts w:ascii="Arial" w:hAnsi="Arial"/>
        </w:rPr>
        <w:t xml:space="preserve"> - wskazują </w:t>
      </w:r>
      <w:r>
        <w:rPr>
          <w:rFonts w:ascii="Arial" w:hAnsi="Arial"/>
          <w:b/>
          <w:bCs/>
        </w:rPr>
        <w:t>eksperci BCC</w:t>
      </w:r>
      <w:r>
        <w:rPr>
          <w:rFonts w:ascii="Arial" w:hAnsi="Arial"/>
        </w:rPr>
        <w:t>, zdaniem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Style w:val="BrakA"/>
          <w:rFonts w:ascii="Arial" w:hAnsi="Arial"/>
        </w:rPr>
        <w:t>kt</w:t>
      </w:r>
      <w:proofErr w:type="spellEnd"/>
      <w:r>
        <w:rPr>
          <w:rStyle w:val="BrakA"/>
          <w:rFonts w:ascii="Arial" w:hAnsi="Arial"/>
          <w:lang w:val="es-ES_tradnl"/>
        </w:rPr>
        <w:t>ó</w:t>
      </w:r>
      <w:proofErr w:type="spellStart"/>
      <w:r>
        <w:rPr>
          <w:rStyle w:val="BrakA"/>
          <w:rFonts w:ascii="Arial" w:hAnsi="Arial"/>
        </w:rPr>
        <w:t>rych</w:t>
      </w:r>
      <w:proofErr w:type="spellEnd"/>
      <w:r>
        <w:rPr>
          <w:rStyle w:val="BrakA"/>
          <w:rFonts w:ascii="Arial" w:hAnsi="Arial"/>
        </w:rPr>
        <w:t xml:space="preserve"> </w:t>
      </w:r>
      <w:r>
        <w:rPr>
          <w:rFonts w:ascii="Arial" w:hAnsi="Arial"/>
          <w:i/>
          <w:iCs/>
        </w:rPr>
        <w:t>obecny</w:t>
      </w:r>
      <w:r w:rsidRPr="00A96627">
        <w:rPr>
          <w:rFonts w:ascii="Arial" w:hAnsi="Arial"/>
          <w:i/>
          <w:iCs/>
        </w:rPr>
        <w:t xml:space="preserve"> termin mo</w:t>
      </w:r>
      <w:r>
        <w:rPr>
          <w:rFonts w:ascii="Arial" w:hAnsi="Arial"/>
          <w:i/>
          <w:iCs/>
        </w:rPr>
        <w:t>że okazać się zbyt restrykcyjny dla podatnik</w:t>
      </w:r>
      <w:r>
        <w:rPr>
          <w:rFonts w:ascii="Arial" w:hAnsi="Arial"/>
          <w:i/>
          <w:iCs/>
          <w:lang w:val="es-ES_tradnl"/>
        </w:rPr>
        <w:t>ó</w:t>
      </w:r>
      <w:r>
        <w:rPr>
          <w:rFonts w:ascii="Arial" w:hAnsi="Arial"/>
          <w:i/>
          <w:iCs/>
        </w:rPr>
        <w:t xml:space="preserve">w, </w:t>
      </w:r>
      <w:proofErr w:type="spellStart"/>
      <w:r>
        <w:rPr>
          <w:rFonts w:ascii="Arial" w:hAnsi="Arial"/>
          <w:i/>
          <w:iCs/>
        </w:rPr>
        <w:t>kt</w:t>
      </w:r>
      <w:proofErr w:type="spellEnd"/>
      <w:r>
        <w:rPr>
          <w:rFonts w:ascii="Arial" w:hAnsi="Arial"/>
          <w:i/>
          <w:iCs/>
          <w:lang w:val="es-ES_tradnl"/>
        </w:rPr>
        <w:t>ó</w:t>
      </w:r>
      <w:proofErr w:type="spellStart"/>
      <w:r>
        <w:rPr>
          <w:rFonts w:ascii="Arial" w:hAnsi="Arial"/>
          <w:i/>
          <w:iCs/>
        </w:rPr>
        <w:t>rzy</w:t>
      </w:r>
      <w:proofErr w:type="spellEnd"/>
      <w:r>
        <w:rPr>
          <w:rFonts w:ascii="Arial" w:hAnsi="Arial"/>
          <w:i/>
          <w:iCs/>
        </w:rPr>
        <w:t xml:space="preserve"> wciąż dostosowują się do nowych regulacji.</w:t>
      </w:r>
    </w:p>
    <w:p w14:paraId="01C0D2E1" w14:textId="77777777" w:rsidR="001A17A3" w:rsidRDefault="001A17A3">
      <w:pPr>
        <w:shd w:val="clear" w:color="auto" w:fill="FFFFFF"/>
        <w:suppressAutoHyphens/>
        <w:spacing w:after="0" w:line="288" w:lineRule="auto"/>
        <w:rPr>
          <w:rFonts w:ascii="Arial" w:eastAsia="Arial" w:hAnsi="Arial" w:cs="Arial"/>
          <w:kern w:val="2"/>
        </w:rPr>
      </w:pPr>
    </w:p>
    <w:p w14:paraId="5D66A9F9" w14:textId="77777777" w:rsidR="001A17A3" w:rsidRDefault="00000000">
      <w:pPr>
        <w:suppressAutoHyphens/>
        <w:spacing w:after="160" w:line="278" w:lineRule="auto"/>
        <w:rPr>
          <w:rFonts w:ascii="Aptos" w:eastAsia="Aptos" w:hAnsi="Aptos" w:cs="Aptos"/>
          <w:b/>
          <w:bCs/>
          <w:kern w:val="2"/>
        </w:rPr>
      </w:pPr>
      <w:r>
        <w:rPr>
          <w:rFonts w:ascii="Aptos" w:eastAsia="Aptos" w:hAnsi="Aptos" w:cs="Aptos"/>
          <w:b/>
          <w:bCs/>
          <w:kern w:val="2"/>
        </w:rPr>
        <w:t xml:space="preserve">FAKTURY </w:t>
      </w:r>
      <w:r>
        <w:rPr>
          <w:rFonts w:ascii="Aptos" w:eastAsia="Aptos" w:hAnsi="Aptos" w:cs="Aptos"/>
          <w:b/>
          <w:bCs/>
          <w:kern w:val="2"/>
          <w:lang w:val="de-DE"/>
        </w:rPr>
        <w:t>KONSUMENCKIE</w:t>
      </w:r>
    </w:p>
    <w:p w14:paraId="4693A40E" w14:textId="49DEE6C1" w:rsidR="001A17A3" w:rsidRDefault="00000000">
      <w:pPr>
        <w:suppressAutoHyphens/>
        <w:spacing w:after="160" w:line="278" w:lineRule="auto"/>
        <w:jc w:val="both"/>
        <w:rPr>
          <w:rFonts w:ascii="Aptos" w:eastAsia="Aptos" w:hAnsi="Aptos" w:cs="Aptos"/>
          <w:kern w:val="2"/>
        </w:rPr>
      </w:pPr>
      <w:r>
        <w:rPr>
          <w:rFonts w:ascii="Aptos" w:eastAsia="Aptos" w:hAnsi="Aptos" w:cs="Aptos"/>
          <w:kern w:val="2"/>
        </w:rPr>
        <w:t xml:space="preserve">BCC popiera także wprowadzenie możliwości wystawiania e-faktur w </w:t>
      </w:r>
      <w:proofErr w:type="spellStart"/>
      <w:r>
        <w:rPr>
          <w:rFonts w:ascii="Aptos" w:eastAsia="Aptos" w:hAnsi="Aptos" w:cs="Aptos"/>
          <w:kern w:val="2"/>
        </w:rPr>
        <w:t>KSeF</w:t>
      </w:r>
      <w:proofErr w:type="spellEnd"/>
      <w:r>
        <w:rPr>
          <w:rFonts w:ascii="Aptos" w:eastAsia="Aptos" w:hAnsi="Aptos" w:cs="Aptos"/>
          <w:kern w:val="2"/>
        </w:rPr>
        <w:t xml:space="preserve"> dla transakcji z osobami fizycznymi nieprowadzącymi działalności gospodarczej (z tzw. konsumentami). Eksperci BCC zwracają jednak uwagę na konieczność wprowadzenia wyraźnych i jednoznacznych wytycznych, </w:t>
      </w:r>
      <w:proofErr w:type="spellStart"/>
      <w:r>
        <w:rPr>
          <w:rFonts w:ascii="Aptos" w:eastAsia="Aptos" w:hAnsi="Aptos" w:cs="Aptos"/>
          <w:kern w:val="2"/>
        </w:rPr>
        <w:t>kt</w:t>
      </w:r>
      <w:proofErr w:type="spellEnd"/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re pomogą sprzedawcom w rozróżnianiu faktur konsumenckich i tych, </w:t>
      </w:r>
      <w:proofErr w:type="spellStart"/>
      <w:r>
        <w:rPr>
          <w:rFonts w:ascii="Aptos" w:eastAsia="Aptos" w:hAnsi="Aptos" w:cs="Aptos"/>
          <w:kern w:val="2"/>
        </w:rPr>
        <w:t>kt</w:t>
      </w:r>
      <w:proofErr w:type="spellEnd"/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re powinny zostać obligatoryjnie wprowadzone do </w:t>
      </w:r>
      <w:proofErr w:type="spellStart"/>
      <w:r>
        <w:rPr>
          <w:rFonts w:ascii="Aptos" w:eastAsia="Aptos" w:hAnsi="Aptos" w:cs="Aptos"/>
          <w:kern w:val="2"/>
        </w:rPr>
        <w:t>KSeF</w:t>
      </w:r>
      <w:proofErr w:type="spellEnd"/>
      <w:r>
        <w:rPr>
          <w:rFonts w:ascii="Aptos" w:eastAsia="Aptos" w:hAnsi="Aptos" w:cs="Aptos"/>
          <w:kern w:val="2"/>
        </w:rPr>
        <w:t xml:space="preserve">.  </w:t>
      </w:r>
      <w:proofErr w:type="spellStart"/>
      <w:r>
        <w:rPr>
          <w:rFonts w:ascii="Aptos" w:eastAsia="Aptos" w:hAnsi="Aptos" w:cs="Aptos"/>
          <w:kern w:val="2"/>
        </w:rPr>
        <w:t>Szczeg</w:t>
      </w:r>
      <w:proofErr w:type="spellEnd"/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lnie dotyczy to sytuacji, gdy przedsiębiorca/nabywca podaje NIP, ale realizowany przez niego zakup nie dotyczy prowadzonej działalności gospodarczej. W ocenie BCC w tego typu przypadkach istotne  jest, aby nie </w:t>
      </w:r>
      <w:proofErr w:type="spellStart"/>
      <w:r>
        <w:rPr>
          <w:rFonts w:ascii="Aptos" w:eastAsia="Aptos" w:hAnsi="Aptos" w:cs="Aptos"/>
          <w:kern w:val="2"/>
        </w:rPr>
        <w:t>nakł</w:t>
      </w:r>
      <w:proofErr w:type="spellEnd"/>
      <w:r>
        <w:rPr>
          <w:rFonts w:ascii="Aptos" w:eastAsia="Aptos" w:hAnsi="Aptos" w:cs="Aptos"/>
          <w:kern w:val="2"/>
          <w:lang w:val="es-ES_tradnl"/>
        </w:rPr>
        <w:t>ada</w:t>
      </w:r>
      <w:r>
        <w:rPr>
          <w:rFonts w:ascii="Aptos" w:eastAsia="Aptos" w:hAnsi="Aptos" w:cs="Aptos"/>
          <w:kern w:val="2"/>
        </w:rPr>
        <w:t xml:space="preserve">ć na sprzedawcę dodatkowych </w:t>
      </w:r>
      <w:proofErr w:type="spellStart"/>
      <w:r>
        <w:rPr>
          <w:rFonts w:ascii="Aptos" w:eastAsia="Aptos" w:hAnsi="Aptos" w:cs="Aptos"/>
          <w:kern w:val="2"/>
        </w:rPr>
        <w:t>obowiązk</w:t>
      </w:r>
      <w:proofErr w:type="spellEnd"/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w weryfikacyjnych, tylko określić jasne i oficjalne kryteria, na podstawie </w:t>
      </w:r>
      <w:proofErr w:type="spellStart"/>
      <w:r>
        <w:rPr>
          <w:rFonts w:ascii="Aptos" w:eastAsia="Aptos" w:hAnsi="Aptos" w:cs="Aptos"/>
          <w:kern w:val="2"/>
        </w:rPr>
        <w:t>kt</w:t>
      </w:r>
      <w:proofErr w:type="spellEnd"/>
      <w:r>
        <w:rPr>
          <w:rFonts w:ascii="Aptos" w:eastAsia="Aptos" w:hAnsi="Aptos" w:cs="Aptos"/>
          <w:kern w:val="2"/>
          <w:lang w:val="es-ES_tradnl"/>
        </w:rPr>
        <w:t>ó</w:t>
      </w:r>
      <w:proofErr w:type="spellStart"/>
      <w:r>
        <w:rPr>
          <w:rFonts w:ascii="Aptos" w:eastAsia="Aptos" w:hAnsi="Aptos" w:cs="Aptos"/>
          <w:kern w:val="2"/>
        </w:rPr>
        <w:t>rych</w:t>
      </w:r>
      <w:proofErr w:type="spellEnd"/>
      <w:r>
        <w:rPr>
          <w:rFonts w:ascii="Aptos" w:eastAsia="Aptos" w:hAnsi="Aptos" w:cs="Aptos"/>
          <w:kern w:val="2"/>
        </w:rPr>
        <w:t xml:space="preserve"> sprzedawca będzie miał prawo uznać </w:t>
      </w:r>
      <w:proofErr w:type="spellStart"/>
      <w:r>
        <w:rPr>
          <w:rFonts w:ascii="Aptos" w:eastAsia="Aptos" w:hAnsi="Aptos" w:cs="Aptos"/>
          <w:kern w:val="2"/>
        </w:rPr>
        <w:t>uznać</w:t>
      </w:r>
      <w:proofErr w:type="spellEnd"/>
      <w:r>
        <w:rPr>
          <w:rFonts w:ascii="Aptos" w:eastAsia="Aptos" w:hAnsi="Aptos" w:cs="Aptos"/>
          <w:kern w:val="2"/>
        </w:rPr>
        <w:t xml:space="preserve"> czy transakcja ma charakter transakcji B2B czy też </w:t>
      </w:r>
      <w:r>
        <w:rPr>
          <w:rFonts w:ascii="Aptos" w:eastAsia="Aptos" w:hAnsi="Aptos" w:cs="Aptos"/>
          <w:kern w:val="2"/>
          <w:lang w:val="it-IT"/>
        </w:rPr>
        <w:t xml:space="preserve">B2C. </w:t>
      </w:r>
    </w:p>
    <w:p w14:paraId="29097B76" w14:textId="77777777" w:rsidR="001A17A3" w:rsidRDefault="001A17A3">
      <w:pPr>
        <w:suppressAutoHyphens/>
        <w:spacing w:after="160" w:line="278" w:lineRule="auto"/>
        <w:jc w:val="both"/>
        <w:rPr>
          <w:rFonts w:ascii="Aptos" w:eastAsia="Aptos" w:hAnsi="Aptos" w:cs="Aptos"/>
          <w:kern w:val="2"/>
        </w:rPr>
      </w:pPr>
    </w:p>
    <w:p w14:paraId="6BD2378E" w14:textId="77777777" w:rsidR="001A17A3" w:rsidRDefault="001A17A3">
      <w:pPr>
        <w:suppressAutoHyphens/>
        <w:spacing w:after="160" w:line="278" w:lineRule="auto"/>
        <w:jc w:val="both"/>
        <w:rPr>
          <w:rFonts w:ascii="Aptos" w:eastAsia="Aptos" w:hAnsi="Aptos" w:cs="Aptos"/>
          <w:b/>
          <w:bCs/>
          <w:i/>
          <w:iCs/>
          <w:kern w:val="2"/>
        </w:rPr>
      </w:pPr>
    </w:p>
    <w:p w14:paraId="7AAA2CAE" w14:textId="77777777" w:rsidR="001A17A3" w:rsidRDefault="00000000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NIEJASNA SAMOI</w:t>
      </w:r>
      <w:r>
        <w:rPr>
          <w:rFonts w:ascii="Arial" w:hAnsi="Arial"/>
          <w:b/>
          <w:bCs/>
          <w:lang w:val="de-DE"/>
        </w:rPr>
        <w:t>DENTYFIKACJA</w:t>
      </w:r>
    </w:p>
    <w:p w14:paraId="6D811734" w14:textId="77777777" w:rsidR="001A17A3" w:rsidRDefault="001A17A3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</w:rPr>
      </w:pPr>
    </w:p>
    <w:p w14:paraId="0C6419CF" w14:textId="12CF9CD4" w:rsidR="001A17A3" w:rsidRDefault="00000000">
      <w:pPr>
        <w:suppressAutoHyphens/>
        <w:spacing w:after="160" w:line="278" w:lineRule="auto"/>
        <w:jc w:val="both"/>
        <w:rPr>
          <w:rFonts w:ascii="Aptos" w:eastAsia="Aptos" w:hAnsi="Aptos" w:cs="Aptos"/>
          <w:b/>
          <w:bCs/>
          <w:kern w:val="2"/>
        </w:rPr>
      </w:pPr>
      <w:r>
        <w:rPr>
          <w:rFonts w:ascii="Aptos" w:eastAsia="Aptos" w:hAnsi="Aptos" w:cs="Aptos"/>
          <w:kern w:val="2"/>
        </w:rPr>
        <w:t>BCC zgłasza obawy dotyczące projektu wprowadzenia dodatkowych sankcji podatkowych na gruncie podatku dochodowego dla os</w:t>
      </w:r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>b fizycznych i os</w:t>
      </w:r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b prawnych (PIT i CIT) związanych  z niewłaściwą autoidentyfikacją nabywcy. Zdaniem ekspertów zaproponowane kary są rozwiązaniem zbyt daleko idącym. Natomiast aktualne rozwiązania mogą obarczać nabywcę odpowiedzialnością za sytuacje, na </w:t>
      </w:r>
      <w:proofErr w:type="spellStart"/>
      <w:r>
        <w:rPr>
          <w:rFonts w:ascii="Aptos" w:eastAsia="Aptos" w:hAnsi="Aptos" w:cs="Aptos"/>
          <w:kern w:val="2"/>
        </w:rPr>
        <w:t>kt</w:t>
      </w:r>
      <w:proofErr w:type="spellEnd"/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re nie miał wpływu np. gdy nabywca dopełnił wszystkich procedur samoidentyfikacji, a mimo to faktura nie została przekazana do </w:t>
      </w:r>
      <w:proofErr w:type="spellStart"/>
      <w:r>
        <w:rPr>
          <w:rFonts w:ascii="Aptos" w:eastAsia="Aptos" w:hAnsi="Aptos" w:cs="Aptos"/>
          <w:kern w:val="2"/>
        </w:rPr>
        <w:t>KSeF</w:t>
      </w:r>
      <w:proofErr w:type="spellEnd"/>
      <w:r>
        <w:rPr>
          <w:rFonts w:ascii="Aptos" w:eastAsia="Aptos" w:hAnsi="Aptos" w:cs="Aptos"/>
          <w:kern w:val="2"/>
        </w:rPr>
        <w:t xml:space="preserve"> przez sprzedawcę, co może skutkować brakiem możliwości zaliczenia jej do koszt</w:t>
      </w:r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w podatkowych przez nabywcę. </w:t>
      </w:r>
      <w:r>
        <w:rPr>
          <w:rFonts w:ascii="Aptos" w:eastAsia="Aptos" w:hAnsi="Aptos" w:cs="Aptos"/>
          <w:b/>
          <w:bCs/>
          <w:kern w:val="2"/>
        </w:rPr>
        <w:t>BCC sugeruje</w:t>
      </w:r>
      <w:r w:rsidR="00A02BEF">
        <w:rPr>
          <w:rFonts w:ascii="Aptos" w:eastAsia="Aptos" w:hAnsi="Aptos" w:cs="Aptos"/>
          <w:b/>
          <w:bCs/>
          <w:kern w:val="2"/>
        </w:rPr>
        <w:t>,</w:t>
      </w:r>
      <w:r>
        <w:rPr>
          <w:rFonts w:ascii="Aptos" w:eastAsia="Aptos" w:hAnsi="Aptos" w:cs="Aptos"/>
          <w:b/>
          <w:bCs/>
          <w:kern w:val="2"/>
        </w:rPr>
        <w:t xml:space="preserve"> aby Ministerstwo </w:t>
      </w:r>
      <w:proofErr w:type="spellStart"/>
      <w:r>
        <w:rPr>
          <w:rFonts w:ascii="Aptos" w:eastAsia="Aptos" w:hAnsi="Aptos" w:cs="Aptos"/>
          <w:b/>
          <w:bCs/>
          <w:kern w:val="2"/>
        </w:rPr>
        <w:t>Finans</w:t>
      </w:r>
      <w:proofErr w:type="spellEnd"/>
      <w:r>
        <w:rPr>
          <w:rFonts w:ascii="Aptos" w:eastAsia="Aptos" w:hAnsi="Aptos" w:cs="Aptos"/>
          <w:b/>
          <w:bCs/>
          <w:kern w:val="2"/>
          <w:lang w:val="es-ES_tradnl"/>
        </w:rPr>
        <w:t>ó</w:t>
      </w:r>
      <w:r>
        <w:rPr>
          <w:rFonts w:ascii="Aptos" w:eastAsia="Aptos" w:hAnsi="Aptos" w:cs="Aptos"/>
          <w:b/>
          <w:bCs/>
          <w:kern w:val="2"/>
        </w:rPr>
        <w:t>w rozważyło modyfikację propozycji samoidentyfikacji i sankcji na gruncie podatku dochodowego od os</w:t>
      </w:r>
      <w:r>
        <w:rPr>
          <w:rFonts w:ascii="Aptos" w:eastAsia="Aptos" w:hAnsi="Aptos" w:cs="Aptos"/>
          <w:b/>
          <w:bCs/>
          <w:kern w:val="2"/>
          <w:lang w:val="es-ES_tradnl"/>
        </w:rPr>
        <w:t>ó</w:t>
      </w:r>
      <w:r>
        <w:rPr>
          <w:rFonts w:ascii="Aptos" w:eastAsia="Aptos" w:hAnsi="Aptos" w:cs="Aptos"/>
          <w:b/>
          <w:bCs/>
          <w:kern w:val="2"/>
        </w:rPr>
        <w:t>b fizycznych oraz os</w:t>
      </w:r>
      <w:r>
        <w:rPr>
          <w:rFonts w:ascii="Aptos" w:eastAsia="Aptos" w:hAnsi="Aptos" w:cs="Aptos"/>
          <w:b/>
          <w:bCs/>
          <w:kern w:val="2"/>
          <w:lang w:val="es-ES_tradnl"/>
        </w:rPr>
        <w:t>ó</w:t>
      </w:r>
      <w:r>
        <w:rPr>
          <w:rFonts w:ascii="Aptos" w:eastAsia="Aptos" w:hAnsi="Aptos" w:cs="Aptos"/>
          <w:b/>
          <w:bCs/>
          <w:kern w:val="2"/>
        </w:rPr>
        <w:t xml:space="preserve">b prawnych w taki </w:t>
      </w:r>
      <w:proofErr w:type="spellStart"/>
      <w:r>
        <w:rPr>
          <w:rFonts w:ascii="Aptos" w:eastAsia="Aptos" w:hAnsi="Aptos" w:cs="Aptos"/>
          <w:b/>
          <w:bCs/>
          <w:kern w:val="2"/>
        </w:rPr>
        <w:t>spos</w:t>
      </w:r>
      <w:proofErr w:type="spellEnd"/>
      <w:r>
        <w:rPr>
          <w:rFonts w:ascii="Aptos" w:eastAsia="Aptos" w:hAnsi="Aptos" w:cs="Aptos"/>
          <w:b/>
          <w:bCs/>
          <w:kern w:val="2"/>
          <w:lang w:val="es-ES_tradnl"/>
        </w:rPr>
        <w:t>ó</w:t>
      </w:r>
      <w:r>
        <w:rPr>
          <w:rFonts w:ascii="Aptos" w:eastAsia="Aptos" w:hAnsi="Aptos" w:cs="Aptos"/>
          <w:b/>
          <w:bCs/>
          <w:kern w:val="2"/>
        </w:rPr>
        <w:t>b, aby zminimalizować ryzyko nieuzasadnionej odpowiedzialności nabywcy.</w:t>
      </w:r>
    </w:p>
    <w:p w14:paraId="773ECDAC" w14:textId="77777777" w:rsidR="001A17A3" w:rsidRDefault="001A17A3">
      <w:pPr>
        <w:suppressAutoHyphens/>
        <w:spacing w:after="160" w:line="278" w:lineRule="auto"/>
        <w:jc w:val="both"/>
        <w:rPr>
          <w:rFonts w:ascii="Arial" w:eastAsia="Arial" w:hAnsi="Arial" w:cs="Arial"/>
        </w:rPr>
      </w:pPr>
    </w:p>
    <w:p w14:paraId="3F653785" w14:textId="77777777" w:rsidR="001A17A3" w:rsidRDefault="00000000">
      <w:pPr>
        <w:shd w:val="clear" w:color="auto" w:fill="FFFFFF"/>
        <w:suppressAutoHyphens/>
        <w:spacing w:after="0"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KONIECZNE UPROSZCZENIA</w:t>
      </w:r>
    </w:p>
    <w:p w14:paraId="290FC2DC" w14:textId="77777777" w:rsidR="001A17A3" w:rsidRDefault="001A17A3">
      <w:pPr>
        <w:shd w:val="clear" w:color="auto" w:fill="FFFFFF"/>
        <w:suppressAutoHyphens/>
        <w:spacing w:after="0" w:line="288" w:lineRule="auto"/>
        <w:jc w:val="both"/>
        <w:rPr>
          <w:kern w:val="2"/>
        </w:rPr>
      </w:pPr>
    </w:p>
    <w:p w14:paraId="5CB327B8" w14:textId="592FA97F" w:rsidR="001A17A3" w:rsidRDefault="00000000">
      <w:pPr>
        <w:suppressAutoHyphens/>
        <w:spacing w:after="160" w:line="278" w:lineRule="auto"/>
        <w:jc w:val="both"/>
        <w:rPr>
          <w:rFonts w:ascii="Aptos" w:eastAsia="Aptos" w:hAnsi="Aptos" w:cs="Aptos"/>
          <w:kern w:val="2"/>
        </w:rPr>
      </w:pPr>
      <w:r>
        <w:rPr>
          <w:rFonts w:ascii="Aptos" w:eastAsia="Aptos" w:hAnsi="Aptos" w:cs="Aptos"/>
          <w:kern w:val="2"/>
        </w:rPr>
        <w:t xml:space="preserve">BCC zwraca uwagę, że głównym powodem opóźnień w pełnym wdrożeniu obowiązkowego </w:t>
      </w:r>
      <w:proofErr w:type="spellStart"/>
      <w:r>
        <w:rPr>
          <w:rFonts w:ascii="Aptos" w:eastAsia="Aptos" w:hAnsi="Aptos" w:cs="Aptos"/>
          <w:kern w:val="2"/>
        </w:rPr>
        <w:t>KSeF</w:t>
      </w:r>
      <w:proofErr w:type="spellEnd"/>
      <w:r>
        <w:rPr>
          <w:rFonts w:ascii="Aptos" w:eastAsia="Aptos" w:hAnsi="Aptos" w:cs="Aptos"/>
          <w:kern w:val="2"/>
        </w:rPr>
        <w:t xml:space="preserve"> jest obawa o niewystarczającą przepustowość systemu, a wprowadzenie skomplikowanych załącznik</w:t>
      </w:r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>w go dodatkowo obciąż</w:t>
      </w:r>
      <w:r>
        <w:rPr>
          <w:rFonts w:ascii="Aptos" w:eastAsia="Aptos" w:hAnsi="Aptos" w:cs="Aptos"/>
          <w:kern w:val="2"/>
          <w:lang w:val="it-IT"/>
        </w:rPr>
        <w:t xml:space="preserve">a. </w:t>
      </w:r>
      <w:r>
        <w:rPr>
          <w:rFonts w:ascii="Aptos" w:eastAsia="Aptos" w:hAnsi="Aptos" w:cs="Aptos"/>
          <w:kern w:val="2"/>
        </w:rPr>
        <w:t>Z dzisiejszego brzmienia przepis</w:t>
      </w:r>
      <w:r>
        <w:rPr>
          <w:rFonts w:ascii="Aptos" w:eastAsia="Aptos" w:hAnsi="Aptos" w:cs="Aptos"/>
          <w:kern w:val="2"/>
          <w:lang w:val="es-ES_tradnl"/>
        </w:rPr>
        <w:t>ó</w:t>
      </w:r>
      <w:r>
        <w:rPr>
          <w:rFonts w:ascii="Aptos" w:eastAsia="Aptos" w:hAnsi="Aptos" w:cs="Aptos"/>
          <w:kern w:val="2"/>
        </w:rPr>
        <w:t xml:space="preserve">w trudno wnioskować jednoznacznie, kto dysponuje prawem do posługiwania się załącznikami w </w:t>
      </w:r>
      <w:proofErr w:type="spellStart"/>
      <w:r>
        <w:rPr>
          <w:rFonts w:ascii="Aptos" w:eastAsia="Aptos" w:hAnsi="Aptos" w:cs="Aptos"/>
          <w:kern w:val="2"/>
        </w:rPr>
        <w:t>KSeF</w:t>
      </w:r>
      <w:proofErr w:type="spellEnd"/>
      <w:r>
        <w:rPr>
          <w:rFonts w:ascii="Aptos" w:eastAsia="Aptos" w:hAnsi="Aptos" w:cs="Aptos"/>
          <w:kern w:val="2"/>
        </w:rPr>
        <w:t>.</w:t>
      </w:r>
      <w:r>
        <w:rPr>
          <w:rFonts w:ascii="Aptos" w:eastAsia="Aptos" w:hAnsi="Aptos" w:cs="Aptos"/>
          <w:i/>
          <w:iCs/>
          <w:kern w:val="2"/>
        </w:rPr>
        <w:t xml:space="preserve"> </w:t>
      </w:r>
      <w:r>
        <w:rPr>
          <w:rFonts w:ascii="Aptos" w:eastAsia="Aptos" w:hAnsi="Aptos" w:cs="Aptos"/>
          <w:kern w:val="2"/>
        </w:rPr>
        <w:t xml:space="preserve">Eksperci zwracają uwagę, że: </w:t>
      </w:r>
      <w:r>
        <w:rPr>
          <w:rFonts w:ascii="Aptos" w:eastAsia="Aptos" w:hAnsi="Aptos" w:cs="Aptos"/>
          <w:kern w:val="2"/>
          <w:lang w:val="ru-RU"/>
        </w:rPr>
        <w:t xml:space="preserve">- </w:t>
      </w:r>
      <w:r>
        <w:rPr>
          <w:rFonts w:ascii="Aptos" w:eastAsia="Aptos" w:hAnsi="Aptos" w:cs="Aptos"/>
          <w:i/>
          <w:iCs/>
          <w:kern w:val="2"/>
        </w:rPr>
        <w:t xml:space="preserve">Wprowadzenie rozwiązania, </w:t>
      </w:r>
      <w:proofErr w:type="spellStart"/>
      <w:r>
        <w:rPr>
          <w:rFonts w:ascii="Aptos" w:eastAsia="Aptos" w:hAnsi="Aptos" w:cs="Aptos"/>
          <w:i/>
          <w:iCs/>
          <w:kern w:val="2"/>
        </w:rPr>
        <w:t>kt</w:t>
      </w:r>
      <w:proofErr w:type="spellEnd"/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r>
        <w:rPr>
          <w:rFonts w:ascii="Aptos" w:eastAsia="Aptos" w:hAnsi="Aptos" w:cs="Aptos"/>
          <w:i/>
          <w:iCs/>
          <w:kern w:val="2"/>
        </w:rPr>
        <w:t>re nie byłoby szeroko dostępne dla wszystkich podatnik</w:t>
      </w:r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r>
        <w:rPr>
          <w:rFonts w:ascii="Aptos" w:eastAsia="Aptos" w:hAnsi="Aptos" w:cs="Aptos"/>
          <w:i/>
          <w:iCs/>
          <w:kern w:val="2"/>
        </w:rPr>
        <w:t xml:space="preserve">w, może prowadzić do </w:t>
      </w:r>
      <w:proofErr w:type="spellStart"/>
      <w:r>
        <w:rPr>
          <w:rFonts w:ascii="Aptos" w:eastAsia="Aptos" w:hAnsi="Aptos" w:cs="Aptos"/>
          <w:i/>
          <w:iCs/>
          <w:kern w:val="2"/>
        </w:rPr>
        <w:t>nier</w:t>
      </w:r>
      <w:proofErr w:type="spellEnd"/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proofErr w:type="spellStart"/>
      <w:r>
        <w:rPr>
          <w:rFonts w:ascii="Aptos" w:eastAsia="Aptos" w:hAnsi="Aptos" w:cs="Aptos"/>
          <w:i/>
          <w:iCs/>
          <w:kern w:val="2"/>
        </w:rPr>
        <w:t>wności</w:t>
      </w:r>
      <w:proofErr w:type="spellEnd"/>
      <w:r>
        <w:rPr>
          <w:rFonts w:ascii="Aptos" w:eastAsia="Aptos" w:hAnsi="Aptos" w:cs="Aptos"/>
          <w:i/>
          <w:iCs/>
          <w:kern w:val="2"/>
        </w:rPr>
        <w:t xml:space="preserve"> podatkowej i </w:t>
      </w:r>
      <w:proofErr w:type="spellStart"/>
      <w:r>
        <w:rPr>
          <w:rFonts w:ascii="Aptos" w:eastAsia="Aptos" w:hAnsi="Aptos" w:cs="Aptos"/>
          <w:i/>
          <w:iCs/>
          <w:kern w:val="2"/>
        </w:rPr>
        <w:t>niesp</w:t>
      </w:r>
      <w:proofErr w:type="spellEnd"/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proofErr w:type="spellStart"/>
      <w:r>
        <w:rPr>
          <w:rFonts w:ascii="Aptos" w:eastAsia="Aptos" w:hAnsi="Aptos" w:cs="Aptos"/>
          <w:i/>
          <w:iCs/>
          <w:kern w:val="2"/>
        </w:rPr>
        <w:t>jnego</w:t>
      </w:r>
      <w:proofErr w:type="spellEnd"/>
      <w:r>
        <w:rPr>
          <w:rFonts w:ascii="Aptos" w:eastAsia="Aptos" w:hAnsi="Aptos" w:cs="Aptos"/>
          <w:i/>
          <w:iCs/>
          <w:kern w:val="2"/>
        </w:rPr>
        <w:t xml:space="preserve"> traktowania wszystkich uczestnik</w:t>
      </w:r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r>
        <w:rPr>
          <w:rFonts w:ascii="Aptos" w:eastAsia="Aptos" w:hAnsi="Aptos" w:cs="Aptos"/>
          <w:i/>
          <w:iCs/>
          <w:kern w:val="2"/>
        </w:rPr>
        <w:t>w rynku. Zdaniem BCC temat załącznik</w:t>
      </w:r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r>
        <w:rPr>
          <w:rFonts w:ascii="Aptos" w:eastAsia="Aptos" w:hAnsi="Aptos" w:cs="Aptos"/>
          <w:i/>
          <w:iCs/>
          <w:kern w:val="2"/>
        </w:rPr>
        <w:t xml:space="preserve">w do faktur w </w:t>
      </w:r>
      <w:proofErr w:type="spellStart"/>
      <w:r>
        <w:rPr>
          <w:rFonts w:ascii="Aptos" w:eastAsia="Aptos" w:hAnsi="Aptos" w:cs="Aptos"/>
          <w:i/>
          <w:iCs/>
          <w:kern w:val="2"/>
        </w:rPr>
        <w:t>KSeF</w:t>
      </w:r>
      <w:proofErr w:type="spellEnd"/>
      <w:r>
        <w:rPr>
          <w:rFonts w:ascii="Aptos" w:eastAsia="Aptos" w:hAnsi="Aptos" w:cs="Aptos"/>
          <w:i/>
          <w:iCs/>
          <w:kern w:val="2"/>
        </w:rPr>
        <w:t xml:space="preserve"> powinien być przedmiotem dalszych dyskusji, w </w:t>
      </w:r>
      <w:proofErr w:type="spellStart"/>
      <w:r>
        <w:rPr>
          <w:rFonts w:ascii="Aptos" w:eastAsia="Aptos" w:hAnsi="Aptos" w:cs="Aptos"/>
          <w:i/>
          <w:iCs/>
          <w:kern w:val="2"/>
        </w:rPr>
        <w:t>kt</w:t>
      </w:r>
      <w:proofErr w:type="spellEnd"/>
      <w:r>
        <w:rPr>
          <w:rFonts w:ascii="Aptos" w:eastAsia="Aptos" w:hAnsi="Aptos" w:cs="Aptos"/>
          <w:i/>
          <w:iCs/>
          <w:kern w:val="2"/>
          <w:lang w:val="es-ES_tradnl"/>
        </w:rPr>
        <w:t>ó</w:t>
      </w:r>
      <w:proofErr w:type="spellStart"/>
      <w:r>
        <w:rPr>
          <w:rFonts w:ascii="Aptos" w:eastAsia="Aptos" w:hAnsi="Aptos" w:cs="Aptos"/>
          <w:i/>
          <w:iCs/>
          <w:kern w:val="2"/>
        </w:rPr>
        <w:t>rych</w:t>
      </w:r>
      <w:proofErr w:type="spellEnd"/>
      <w:r>
        <w:rPr>
          <w:rFonts w:ascii="Aptos" w:eastAsia="Aptos" w:hAnsi="Aptos" w:cs="Aptos"/>
          <w:i/>
          <w:iCs/>
          <w:kern w:val="2"/>
        </w:rPr>
        <w:t xml:space="preserve"> kluczowe będzie umożliwienie ich fakultatywnego stosowania wszystkim podatnikom.</w:t>
      </w:r>
    </w:p>
    <w:p w14:paraId="6007A7B7" w14:textId="77777777" w:rsidR="001A17A3" w:rsidRDefault="00000000">
      <w:pPr>
        <w:spacing w:after="160" w:line="278" w:lineRule="auto"/>
        <w:rPr>
          <w:rFonts w:ascii="Arial" w:eastAsia="Arial" w:hAnsi="Arial" w:cs="Arial"/>
          <w:b/>
          <w:bCs/>
          <w:color w:val="AF3033"/>
          <w:kern w:val="2"/>
          <w:sz w:val="24"/>
          <w:szCs w:val="24"/>
        </w:rPr>
      </w:pPr>
      <w:hyperlink r:id="rId8" w:history="1">
        <w:r>
          <w:rPr>
            <w:rStyle w:val="Hyperlink0"/>
            <w:rFonts w:ascii="Helvetica" w:hAnsi="Helvetica"/>
            <w:b/>
            <w:bCs/>
            <w:sz w:val="24"/>
            <w:szCs w:val="24"/>
          </w:rPr>
          <w:t>Stanowisko BCC</w:t>
        </w:r>
      </w:hyperlink>
    </w:p>
    <w:p w14:paraId="20BA0A93" w14:textId="77777777" w:rsidR="001A17A3" w:rsidRDefault="001A17A3">
      <w:pPr>
        <w:shd w:val="clear" w:color="auto" w:fill="FFFFFF"/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val="es-ES_tradnl"/>
        </w:rPr>
      </w:pPr>
    </w:p>
    <w:p w14:paraId="1C345CE1" w14:textId="77777777" w:rsidR="001A17A3" w:rsidRDefault="001A17A3">
      <w:pPr>
        <w:shd w:val="clear" w:color="auto" w:fill="FFFFFF"/>
        <w:suppressAutoHyphens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</w:p>
    <w:p w14:paraId="1FDBF56A" w14:textId="77777777" w:rsidR="001A17A3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A96627">
        <w:rPr>
          <w:rFonts w:ascii="Arial" w:hAnsi="Arial"/>
          <w:sz w:val="18"/>
          <w:szCs w:val="18"/>
          <w:u w:val="single"/>
        </w:rPr>
        <w:t>Kontakt:</w:t>
      </w:r>
    </w:p>
    <w:p w14:paraId="54629688" w14:textId="77777777" w:rsidR="001A17A3" w:rsidRPr="00A96627" w:rsidRDefault="001A17A3">
      <w:pPr>
        <w:suppressAutoHyphens/>
        <w:spacing w:after="0" w:line="24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</w:p>
    <w:p w14:paraId="6535D3FE" w14:textId="77777777" w:rsidR="001A17A3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96627">
        <w:rPr>
          <w:rFonts w:ascii="Arial" w:hAnsi="Arial"/>
          <w:sz w:val="18"/>
          <w:szCs w:val="18"/>
        </w:rPr>
        <w:t xml:space="preserve">Agencja Open </w:t>
      </w:r>
      <w:proofErr w:type="spellStart"/>
      <w:r w:rsidRPr="00A96627">
        <w:rPr>
          <w:rFonts w:ascii="Arial" w:hAnsi="Arial"/>
          <w:sz w:val="18"/>
          <w:szCs w:val="18"/>
        </w:rPr>
        <w:t>Minded</w:t>
      </w:r>
      <w:proofErr w:type="spellEnd"/>
      <w:r w:rsidRPr="00A96627">
        <w:rPr>
          <w:rFonts w:ascii="Arial" w:hAnsi="Arial"/>
          <w:sz w:val="18"/>
          <w:szCs w:val="18"/>
        </w:rPr>
        <w:t xml:space="preserve"> </w:t>
      </w:r>
      <w:proofErr w:type="spellStart"/>
      <w:r w:rsidRPr="00A96627">
        <w:rPr>
          <w:rFonts w:ascii="Arial" w:hAnsi="Arial"/>
          <w:sz w:val="18"/>
          <w:szCs w:val="18"/>
        </w:rPr>
        <w:t>Group</w:t>
      </w:r>
      <w:proofErr w:type="spellEnd"/>
      <w:r w:rsidRPr="00A96627">
        <w:rPr>
          <w:rFonts w:ascii="Arial" w:hAnsi="Arial"/>
          <w:sz w:val="18"/>
          <w:szCs w:val="18"/>
        </w:rPr>
        <w:t xml:space="preserve"> pr@openmindedgroup.pl</w:t>
      </w:r>
    </w:p>
    <w:p w14:paraId="5D12A963" w14:textId="21D8BCCC" w:rsidR="001A17A3" w:rsidRPr="00A96627" w:rsidRDefault="00000000">
      <w:pPr>
        <w:pStyle w:val="TreA"/>
        <w:suppressAutoHyphens/>
        <w:spacing w:line="240" w:lineRule="auto"/>
        <w:jc w:val="both"/>
        <w:rPr>
          <w:rStyle w:val="Brak"/>
          <w:rFonts w:ascii="Arial" w:eastAsia="Arial" w:hAnsi="Arial" w:cs="Arial"/>
          <w:sz w:val="18"/>
          <w:szCs w:val="18"/>
          <w:u w:val="single"/>
          <w:lang w:val="pl-PL"/>
        </w:rPr>
      </w:pPr>
      <w:r w:rsidRPr="00A96627">
        <w:rPr>
          <w:rFonts w:ascii="Arial" w:hAnsi="Arial"/>
          <w:sz w:val="18"/>
          <w:szCs w:val="18"/>
          <w:lang w:val="pl-PL"/>
        </w:rPr>
        <w:t>Ren</w:t>
      </w:r>
      <w:r w:rsidR="00A02BEF">
        <w:rPr>
          <w:rFonts w:ascii="Arial" w:hAnsi="Arial"/>
          <w:sz w:val="18"/>
          <w:szCs w:val="18"/>
          <w:lang w:val="pl-PL"/>
        </w:rPr>
        <w:t>a</w:t>
      </w:r>
      <w:r w:rsidRPr="00A96627">
        <w:rPr>
          <w:rFonts w:ascii="Arial" w:hAnsi="Arial"/>
          <w:sz w:val="18"/>
          <w:szCs w:val="18"/>
          <w:lang w:val="pl-PL"/>
        </w:rPr>
        <w:t xml:space="preserve">ta Stefanowska (BCC): </w:t>
      </w:r>
      <w:hyperlink r:id="rId9" w:history="1">
        <w:r w:rsidRPr="00A96627">
          <w:rPr>
            <w:rStyle w:val="Hyperlink1"/>
            <w:lang w:val="pl-PL"/>
          </w:rPr>
          <w:t>renata.stefanowska@bcc.pl</w:t>
        </w:r>
      </w:hyperlink>
      <w:r w:rsidRPr="00A96627">
        <w:rPr>
          <w:rStyle w:val="Brak"/>
          <w:rFonts w:ascii="Arial" w:hAnsi="Arial"/>
          <w:sz w:val="18"/>
          <w:szCs w:val="18"/>
          <w:lang w:val="pl-PL"/>
        </w:rPr>
        <w:t xml:space="preserve">  </w:t>
      </w:r>
    </w:p>
    <w:p w14:paraId="2FF92D4F" w14:textId="77777777" w:rsidR="001A17A3" w:rsidRPr="00A96627" w:rsidRDefault="00000000">
      <w:pPr>
        <w:pStyle w:val="TreA"/>
        <w:suppressAutoHyphens/>
        <w:spacing w:line="240" w:lineRule="auto"/>
        <w:jc w:val="both"/>
        <w:rPr>
          <w:rStyle w:val="Brak"/>
          <w:rFonts w:ascii="Arial" w:eastAsia="Arial" w:hAnsi="Arial" w:cs="Arial"/>
          <w:color w:val="800080"/>
          <w:sz w:val="18"/>
          <w:szCs w:val="18"/>
          <w:u w:val="single" w:color="800080"/>
          <w:lang w:val="pl-PL"/>
        </w:rPr>
      </w:pPr>
      <w:hyperlink r:id="rId10" w:history="1">
        <w:r w:rsidRPr="00A96627">
          <w:rPr>
            <w:rStyle w:val="Hyperlink1"/>
            <w:lang w:val="pl-PL"/>
          </w:rPr>
          <w:t>www.bcc.org.pl</w:t>
        </w:r>
      </w:hyperlink>
    </w:p>
    <w:p w14:paraId="054BEA39" w14:textId="77777777" w:rsidR="001A17A3" w:rsidRDefault="001A17A3">
      <w:pPr>
        <w:suppressAutoHyphens/>
        <w:spacing w:line="240" w:lineRule="auto"/>
        <w:jc w:val="both"/>
        <w:rPr>
          <w:rStyle w:val="Brak"/>
          <w:rFonts w:ascii="Arial" w:eastAsia="Arial" w:hAnsi="Arial" w:cs="Arial"/>
        </w:rPr>
      </w:pPr>
    </w:p>
    <w:p w14:paraId="4C653ADD" w14:textId="77777777" w:rsidR="001A17A3" w:rsidRDefault="00000000">
      <w:pPr>
        <w:pBdr>
          <w:top w:val="single" w:sz="4" w:space="0" w:color="000000"/>
        </w:pBdr>
        <w:suppressAutoHyphens/>
        <w:spacing w:after="0" w:line="240" w:lineRule="auto"/>
        <w:jc w:val="both"/>
        <w:rPr>
          <w:rStyle w:val="Brak"/>
          <w:rFonts w:ascii="Arial" w:eastAsia="Arial" w:hAnsi="Arial" w:cs="Arial"/>
        </w:rPr>
      </w:pPr>
      <w:r>
        <w:rPr>
          <w:rStyle w:val="Brak"/>
          <w:rFonts w:ascii="Arial" w:eastAsia="Arial" w:hAnsi="Arial" w:cs="Arial"/>
          <w:noProof/>
        </w:rPr>
        <w:drawing>
          <wp:anchor distT="57150" distB="57150" distL="57150" distR="57150" simplePos="0" relativeHeight="251659264" behindDoc="0" locked="0" layoutInCell="1" allowOverlap="1" wp14:anchorId="2778CE15" wp14:editId="6086B1A7">
            <wp:simplePos x="0" y="0"/>
            <wp:positionH relativeFrom="page">
              <wp:posOffset>899158</wp:posOffset>
            </wp:positionH>
            <wp:positionV relativeFrom="line">
              <wp:posOffset>196850</wp:posOffset>
            </wp:positionV>
            <wp:extent cx="670560" cy="670560"/>
            <wp:effectExtent l="0" t="0" r="0" b="0"/>
            <wp:wrapSquare wrapText="bothSides" distT="57150" distB="57150" distL="57150" distR="57150"/>
            <wp:docPr id="1073741827" name="officeArt object" descr="Obraz zawierający wzór, kwadrat, Symetria, Prostoką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zawierający wzór, kwadrat, Symetria, Prostokąt&#10;&#10;Opis wygenerowany automatycznie" descr="Obraz zawierający wzór, kwadrat, Symetria, ProstokątOpis wygenerowany automatyczni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29005ED" w14:textId="77777777" w:rsidR="001A17A3" w:rsidRDefault="00000000">
      <w:pPr>
        <w:suppressAutoHyphens/>
        <w:spacing w:after="0" w:line="240" w:lineRule="auto"/>
        <w:jc w:val="both"/>
        <w:rPr>
          <w:rStyle w:val="Brak"/>
          <w:rFonts w:ascii="Arial" w:eastAsia="Arial" w:hAnsi="Arial" w:cs="Arial"/>
          <w:sz w:val="18"/>
          <w:szCs w:val="18"/>
        </w:rPr>
      </w:pPr>
      <w:bookmarkStart w:id="0" w:name="_Hlk164253520"/>
      <w:r>
        <w:rPr>
          <w:rStyle w:val="Brak"/>
          <w:rFonts w:ascii="Arial" w:hAnsi="Arial"/>
          <w:sz w:val="18"/>
          <w:szCs w:val="18"/>
        </w:rPr>
        <w:t xml:space="preserve">Business Centre Club to największa w kraju ustawowa organizacja indywidualnych </w:t>
      </w:r>
      <w:proofErr w:type="spellStart"/>
      <w:r>
        <w:rPr>
          <w:rStyle w:val="Brak"/>
          <w:rFonts w:ascii="Arial" w:hAnsi="Arial"/>
          <w:sz w:val="18"/>
          <w:szCs w:val="18"/>
        </w:rPr>
        <w:t>pracodawc</w:t>
      </w:r>
      <w:proofErr w:type="spellEnd"/>
      <w:r>
        <w:rPr>
          <w:rStyle w:val="Brak"/>
          <w:rFonts w:ascii="Arial" w:hAnsi="Arial"/>
          <w:sz w:val="18"/>
          <w:szCs w:val="18"/>
          <w:lang w:val="es-ES_tradnl"/>
        </w:rPr>
        <w:t>ó</w:t>
      </w:r>
      <w:r>
        <w:rPr>
          <w:rStyle w:val="Brak"/>
          <w:rFonts w:ascii="Arial" w:hAnsi="Arial"/>
          <w:sz w:val="18"/>
          <w:szCs w:val="18"/>
        </w:rPr>
        <w:t>w. Członkowie Klubu zatrudniają ponad 400 tys. pracownik</w:t>
      </w:r>
      <w:r>
        <w:rPr>
          <w:rStyle w:val="Brak"/>
          <w:rFonts w:ascii="Arial" w:hAnsi="Arial"/>
          <w:sz w:val="18"/>
          <w:szCs w:val="18"/>
          <w:lang w:val="es-ES_tradnl"/>
        </w:rPr>
        <w:t>ó</w:t>
      </w:r>
      <w:r>
        <w:rPr>
          <w:rStyle w:val="Brak"/>
          <w:rFonts w:ascii="Arial" w:hAnsi="Arial"/>
          <w:sz w:val="18"/>
          <w:szCs w:val="18"/>
        </w:rPr>
        <w:t>w, przychody firm to ponad 200 miliard</w:t>
      </w:r>
      <w:r>
        <w:rPr>
          <w:rStyle w:val="Brak"/>
          <w:rFonts w:ascii="Arial" w:hAnsi="Arial"/>
          <w:sz w:val="18"/>
          <w:szCs w:val="18"/>
          <w:lang w:val="es-ES_tradnl"/>
        </w:rPr>
        <w:t>ó</w:t>
      </w:r>
      <w:r>
        <w:rPr>
          <w:rStyle w:val="Brak"/>
          <w:rFonts w:ascii="Arial" w:hAnsi="Arial"/>
          <w:sz w:val="18"/>
          <w:szCs w:val="18"/>
        </w:rPr>
        <w:t xml:space="preserve">w złotych, a siedziby rozlokowane są w 250 miastach. Na terenie Polski działają 22 loże regionalne. Do BCC należą przedstawiciele wszystkich branż, międzynarodowe korporacje, instytucje finansowe i ubezpieczeniowe, firmy telekomunikacyjne, najwięksi polscy producenci, uczelnie wyższe, koncerny wydawnicze i znane kancelarie prawne. Członkami BCC – klubu </w:t>
      </w:r>
      <w:proofErr w:type="spellStart"/>
      <w:r>
        <w:rPr>
          <w:rStyle w:val="Brak"/>
          <w:rFonts w:ascii="Arial" w:hAnsi="Arial"/>
          <w:sz w:val="18"/>
          <w:szCs w:val="18"/>
        </w:rPr>
        <w:t>przedsiębiorc</w:t>
      </w:r>
      <w:proofErr w:type="spellEnd"/>
      <w:r>
        <w:rPr>
          <w:rStyle w:val="Brak"/>
          <w:rFonts w:ascii="Arial" w:hAnsi="Arial"/>
          <w:sz w:val="18"/>
          <w:szCs w:val="18"/>
          <w:lang w:val="es-ES_tradnl"/>
        </w:rPr>
        <w:t>ó</w:t>
      </w:r>
      <w:r>
        <w:rPr>
          <w:rStyle w:val="Brak"/>
          <w:rFonts w:ascii="Arial" w:hAnsi="Arial"/>
          <w:sz w:val="18"/>
          <w:szCs w:val="18"/>
        </w:rPr>
        <w:t xml:space="preserve">w są także prawnicy, dziennikarze, naukowcy, wydawcy, lekarze, wojskowi i studenci. </w:t>
      </w:r>
    </w:p>
    <w:p w14:paraId="4A40468A" w14:textId="77777777" w:rsidR="001A17A3" w:rsidRDefault="001A17A3">
      <w:pPr>
        <w:suppressAutoHyphens/>
        <w:spacing w:after="0" w:line="240" w:lineRule="auto"/>
        <w:jc w:val="both"/>
        <w:rPr>
          <w:rStyle w:val="Brak"/>
          <w:rFonts w:ascii="Arial" w:eastAsia="Arial" w:hAnsi="Arial" w:cs="Arial"/>
          <w:sz w:val="18"/>
          <w:szCs w:val="18"/>
        </w:rPr>
      </w:pPr>
    </w:p>
    <w:p w14:paraId="1EDEF620" w14:textId="77777777" w:rsidR="001A17A3" w:rsidRDefault="00000000">
      <w:pPr>
        <w:suppressAutoHyphens/>
        <w:spacing w:after="0" w:line="240" w:lineRule="auto"/>
        <w:jc w:val="both"/>
      </w:pPr>
      <w:r>
        <w:rPr>
          <w:rStyle w:val="Brak"/>
          <w:rFonts w:ascii="Arial" w:hAnsi="Arial"/>
          <w:sz w:val="18"/>
          <w:szCs w:val="18"/>
        </w:rPr>
        <w:t xml:space="preserve">Business Centre Club w mediach społecznościowych: </w:t>
      </w:r>
      <w:hyperlink r:id="rId12" w:history="1">
        <w:r>
          <w:rPr>
            <w:rStyle w:val="Hyperlink2"/>
          </w:rPr>
          <w:t>LinkedIn &gt;</w:t>
        </w:r>
      </w:hyperlink>
      <w:r>
        <w:rPr>
          <w:rStyle w:val="Brak"/>
          <w:rFonts w:ascii="Arial" w:hAnsi="Arial"/>
          <w:sz w:val="18"/>
          <w:szCs w:val="18"/>
        </w:rPr>
        <w:t xml:space="preserve"> </w:t>
      </w:r>
      <w:hyperlink r:id="rId13" w:history="1">
        <w:r>
          <w:rPr>
            <w:rStyle w:val="Hyperlink2"/>
          </w:rPr>
          <w:t>Facebook &gt;</w:t>
        </w:r>
      </w:hyperlink>
      <w:r>
        <w:rPr>
          <w:rStyle w:val="Brak"/>
          <w:rFonts w:ascii="Arial" w:hAnsi="Arial"/>
          <w:sz w:val="18"/>
          <w:szCs w:val="18"/>
        </w:rPr>
        <w:t xml:space="preserve"> </w:t>
      </w:r>
      <w:bookmarkEnd w:id="0"/>
      <w:r>
        <w:rPr>
          <w:rStyle w:val="Hyperlink3"/>
        </w:rPr>
        <w:fldChar w:fldCharType="begin"/>
      </w:r>
      <w:r>
        <w:rPr>
          <w:rStyle w:val="Hyperlink3"/>
        </w:rPr>
        <w:instrText xml:space="preserve"> HYPERLINK "http://www.twitter.com/BCCorg"</w:instrText>
      </w:r>
      <w:r>
        <w:rPr>
          <w:rStyle w:val="Hyperlink3"/>
        </w:rPr>
      </w:r>
      <w:r>
        <w:rPr>
          <w:rStyle w:val="Hyperlink3"/>
        </w:rPr>
        <w:fldChar w:fldCharType="separate"/>
      </w:r>
      <w:r>
        <w:rPr>
          <w:rStyle w:val="Hyperlink3"/>
        </w:rPr>
        <w:t>Twitter &gt;</w:t>
      </w:r>
      <w:r>
        <w:fldChar w:fldCharType="end"/>
      </w:r>
    </w:p>
    <w:sectPr w:rsidR="001A17A3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60F11" w14:textId="77777777" w:rsidR="00AA1AAA" w:rsidRDefault="00AA1AAA">
      <w:pPr>
        <w:spacing w:after="0" w:line="240" w:lineRule="auto"/>
      </w:pPr>
      <w:r>
        <w:separator/>
      </w:r>
    </w:p>
  </w:endnote>
  <w:endnote w:type="continuationSeparator" w:id="0">
    <w:p w14:paraId="15628054" w14:textId="77777777" w:rsidR="00AA1AAA" w:rsidRDefault="00AA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5710E" w14:textId="77777777" w:rsidR="001A17A3" w:rsidRDefault="001A17A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D25D8" w14:textId="77777777" w:rsidR="00AA1AAA" w:rsidRDefault="00AA1AAA">
      <w:pPr>
        <w:spacing w:after="0" w:line="240" w:lineRule="auto"/>
      </w:pPr>
      <w:r>
        <w:separator/>
      </w:r>
    </w:p>
  </w:footnote>
  <w:footnote w:type="continuationSeparator" w:id="0">
    <w:p w14:paraId="4C67C3BE" w14:textId="77777777" w:rsidR="00AA1AAA" w:rsidRDefault="00AA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AA66" w14:textId="77777777" w:rsidR="001A17A3" w:rsidRDefault="001A17A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176"/>
    <w:multiLevelType w:val="hybridMultilevel"/>
    <w:tmpl w:val="8B84B7B4"/>
    <w:styleLink w:val="Punktory"/>
    <w:lvl w:ilvl="0" w:tplc="F2402A28">
      <w:start w:val="1"/>
      <w:numFmt w:val="bullet"/>
      <w:lvlText w:val="-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ED4C2">
      <w:start w:val="1"/>
      <w:numFmt w:val="bullet"/>
      <w:lvlText w:val="-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5E9B80">
      <w:start w:val="1"/>
      <w:numFmt w:val="bullet"/>
      <w:lvlText w:val="-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48C458">
      <w:start w:val="1"/>
      <w:numFmt w:val="bullet"/>
      <w:lvlText w:val="-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86B58E">
      <w:start w:val="1"/>
      <w:numFmt w:val="bullet"/>
      <w:lvlText w:val="-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909C26">
      <w:start w:val="1"/>
      <w:numFmt w:val="bullet"/>
      <w:lvlText w:val="-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6E560">
      <w:start w:val="1"/>
      <w:numFmt w:val="bullet"/>
      <w:lvlText w:val="-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D65B8E">
      <w:start w:val="1"/>
      <w:numFmt w:val="bullet"/>
      <w:lvlText w:val="-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0E580E">
      <w:start w:val="1"/>
      <w:numFmt w:val="bullet"/>
      <w:lvlText w:val="-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3F1A03"/>
    <w:multiLevelType w:val="hybridMultilevel"/>
    <w:tmpl w:val="8B84B7B4"/>
    <w:numStyleLink w:val="Punktory"/>
  </w:abstractNum>
  <w:num w:numId="1" w16cid:durableId="516427930">
    <w:abstractNumId w:val="0"/>
  </w:num>
  <w:num w:numId="2" w16cid:durableId="78893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A3"/>
    <w:rsid w:val="001A17A3"/>
    <w:rsid w:val="00A02BEF"/>
    <w:rsid w:val="00A96627"/>
    <w:rsid w:val="00A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E2BC"/>
  <w15:docId w15:val="{9F3A3085-514C-4B5D-9FF6-887DECB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character" w:customStyle="1" w:styleId="BrakA">
    <w:name w:val="Brak A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AF3033"/>
      <w:u w:val="none" w:color="0000FF"/>
    </w:rPr>
  </w:style>
  <w:style w:type="paragraph" w:customStyle="1" w:styleId="TreA">
    <w:name w:val="Treść A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character" w:customStyle="1" w:styleId="Hyperlink2">
    <w:name w:val="Hyperlink.2"/>
    <w:basedOn w:val="Brak"/>
    <w:rPr>
      <w:rFonts w:ascii="Arial" w:eastAsia="Arial" w:hAnsi="Arial" w:cs="Arial"/>
      <w:outline w:val="0"/>
      <w:color w:val="0000FF"/>
      <w:sz w:val="18"/>
      <w:szCs w:val="18"/>
      <w:u w:val="single" w:color="0000FF"/>
      <w:lang w:val="nl-NL"/>
    </w:rPr>
  </w:style>
  <w:style w:type="character" w:customStyle="1" w:styleId="Hyperlink3">
    <w:name w:val="Hyperlink.3"/>
    <w:basedOn w:val="Brak"/>
    <w:rPr>
      <w:rFonts w:ascii="Arial" w:eastAsia="Arial" w:hAnsi="Arial" w:cs="Arial"/>
      <w:outline w:val="0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.org.pl/wp-content/uploads/ksef-stanowisko-bcc.docx" TargetMode="External"/><Relationship Id="rId13" Type="http://schemas.openxmlformats.org/officeDocument/2006/relationships/hyperlink" Target="http://www.facebook.com/businesscentreclu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nkedin.com/company/business-centre-clu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cc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stefanowska@bcc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Onikki-Górski</dc:creator>
  <cp:lastModifiedBy>Onikki-Górski Piotr</cp:lastModifiedBy>
  <cp:revision>2</cp:revision>
  <dcterms:created xsi:type="dcterms:W3CDTF">2024-04-30T08:00:00Z</dcterms:created>
  <dcterms:modified xsi:type="dcterms:W3CDTF">2024-04-30T08:00:00Z</dcterms:modified>
</cp:coreProperties>
</file>