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F41D" w14:textId="4EBC30B3" w:rsidR="0000273F" w:rsidRDefault="00EE420D">
      <w:r>
        <w:t>Lista podmiotów trzecich będzie aktualizowana.</w:t>
      </w:r>
    </w:p>
    <w:sectPr w:rsidR="0000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6C"/>
    <w:rsid w:val="0000273F"/>
    <w:rsid w:val="004E0A1F"/>
    <w:rsid w:val="00CF276C"/>
    <w:rsid w:val="00E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370D"/>
  <w15:chartTrackingRefBased/>
  <w15:docId w15:val="{C84C9F95-E9AD-4BCA-9390-05C29043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7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7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7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7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Rybińska–Fliszkiewicz Joanna</dc:creator>
  <cp:keywords/>
  <dc:description/>
  <cp:lastModifiedBy>Rybińska–Fliszkiewicz Joanna</cp:lastModifiedBy>
  <cp:revision>2</cp:revision>
  <dcterms:created xsi:type="dcterms:W3CDTF">2025-05-30T12:48:00Z</dcterms:created>
  <dcterms:modified xsi:type="dcterms:W3CDTF">2025-05-30T13:22:00Z</dcterms:modified>
</cp:coreProperties>
</file>