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57C9" w14:textId="77777777" w:rsidR="00B126A9" w:rsidRDefault="00B126A9" w:rsidP="00401574">
      <w:pPr>
        <w:jc w:val="center"/>
        <w:rPr>
          <w:b/>
          <w:bCs/>
          <w:sz w:val="24"/>
          <w:szCs w:val="24"/>
        </w:rPr>
      </w:pPr>
    </w:p>
    <w:p w14:paraId="75C1307F" w14:textId="3D30F50E" w:rsidR="00401574" w:rsidRPr="00B126A9" w:rsidRDefault="00401574" w:rsidP="00B126A9">
      <w:pPr>
        <w:jc w:val="center"/>
        <w:rPr>
          <w:b/>
          <w:bCs/>
          <w:sz w:val="24"/>
          <w:szCs w:val="24"/>
        </w:rPr>
      </w:pPr>
      <w:r w:rsidRPr="00401574">
        <w:rPr>
          <w:b/>
          <w:bCs/>
          <w:sz w:val="24"/>
          <w:szCs w:val="24"/>
        </w:rPr>
        <w:t>September 2023</w:t>
      </w:r>
    </w:p>
    <w:p w14:paraId="4744B15C" w14:textId="118136D8" w:rsidR="005E34B5" w:rsidRDefault="0030679C" w:rsidP="00796743">
      <w:pPr>
        <w:jc w:val="both"/>
        <w:rPr>
          <w:b/>
          <w:bCs/>
        </w:rPr>
      </w:pPr>
      <w:r>
        <w:rPr>
          <w:b/>
          <w:bCs/>
        </w:rPr>
        <w:t>3</w:t>
      </w:r>
      <w:r w:rsidR="00AA04A7">
        <w:rPr>
          <w:b/>
          <w:bCs/>
        </w:rPr>
        <w:t>97</w:t>
      </w:r>
      <w:r w:rsidR="00317209">
        <w:rPr>
          <w:b/>
          <w:bCs/>
        </w:rPr>
        <w:t>1</w:t>
      </w:r>
      <w:r w:rsidR="00FA5CBB">
        <w:rPr>
          <w:b/>
          <w:bCs/>
        </w:rPr>
        <w:t xml:space="preserve"> </w:t>
      </w:r>
      <w:r>
        <w:rPr>
          <w:b/>
          <w:bCs/>
        </w:rPr>
        <w:t>characters (max 4000)</w:t>
      </w:r>
    </w:p>
    <w:p w14:paraId="4EAD38B9" w14:textId="6B1C77D5" w:rsidR="000B1411" w:rsidRDefault="005E34B5" w:rsidP="00796743">
      <w:pPr>
        <w:jc w:val="both"/>
      </w:pPr>
      <w:r>
        <w:t xml:space="preserve">Medicines for Europe, representing manufacturers of generic, biosimilar and </w:t>
      </w:r>
      <w:proofErr w:type="gramStart"/>
      <w:r>
        <w:t>value</w:t>
      </w:r>
      <w:r w:rsidR="005606BE">
        <w:t xml:space="preserve"> </w:t>
      </w:r>
      <w:r>
        <w:t>added</w:t>
      </w:r>
      <w:proofErr w:type="gramEnd"/>
      <w:r>
        <w:t xml:space="preserve"> medicines across Europe, welcomes the proposals to review the EU general pharmaceutical legislation</w:t>
      </w:r>
      <w:r w:rsidR="000B1411">
        <w:t>.</w:t>
      </w:r>
    </w:p>
    <w:p w14:paraId="7C36A8D0" w14:textId="08F710FB" w:rsidR="002317A5" w:rsidRDefault="003B302B" w:rsidP="00796743">
      <w:pPr>
        <w:jc w:val="both"/>
      </w:pPr>
      <w:r>
        <w:t xml:space="preserve">As the </w:t>
      </w:r>
      <w:r w:rsidR="00FF37C7">
        <w:t>off-patent sector accounting for 70% of medicines dispensed in Europe</w:t>
      </w:r>
      <w:r w:rsidR="0078018A">
        <w:t xml:space="preserve"> </w:t>
      </w:r>
      <w:r w:rsidR="000959EB">
        <w:t>across</w:t>
      </w:r>
      <w:r w:rsidR="0078018A">
        <w:t xml:space="preserve"> 80% of therapeutic areas</w:t>
      </w:r>
      <w:r w:rsidR="00FF37C7">
        <w:t>, w</w:t>
      </w:r>
      <w:r w:rsidR="000B1411">
        <w:t>e fully share the goals</w:t>
      </w:r>
      <w:r w:rsidR="002317A5">
        <w:t xml:space="preserve"> </w:t>
      </w:r>
      <w:r w:rsidR="000B1411">
        <w:t>of</w:t>
      </w:r>
      <w:r w:rsidR="002317A5">
        <w:t xml:space="preserve"> </w:t>
      </w:r>
      <w:r w:rsidR="00015C5C">
        <w:t>ensuring that all patients</w:t>
      </w:r>
      <w:r w:rsidR="000959EB">
        <w:t xml:space="preserve"> in</w:t>
      </w:r>
      <w:r w:rsidR="00015C5C">
        <w:t xml:space="preserve"> the EU have timely and equitable access to safe, </w:t>
      </w:r>
      <w:proofErr w:type="gramStart"/>
      <w:r w:rsidR="00015C5C">
        <w:t>effective</w:t>
      </w:r>
      <w:proofErr w:type="gramEnd"/>
      <w:r w:rsidR="00015C5C">
        <w:t xml:space="preserve"> and affordable medicines</w:t>
      </w:r>
      <w:r w:rsidR="00A65E27">
        <w:t>, through better competition</w:t>
      </w:r>
      <w:r w:rsidR="00433F58">
        <w:t xml:space="preserve">, </w:t>
      </w:r>
      <w:r w:rsidR="00A65E27">
        <w:t>a</w:t>
      </w:r>
      <w:r w:rsidR="00E166CF">
        <w:t>n</w:t>
      </w:r>
      <w:r w:rsidR="00A65E27">
        <w:t xml:space="preserve"> efficient regulatory </w:t>
      </w:r>
      <w:r w:rsidR="0078018A">
        <w:t xml:space="preserve">system and a framework </w:t>
      </w:r>
      <w:r w:rsidR="00F22A00">
        <w:t xml:space="preserve">conducive </w:t>
      </w:r>
      <w:r w:rsidR="0078018A">
        <w:t xml:space="preserve">to manufacturing and </w:t>
      </w:r>
      <w:r w:rsidR="00F22A00">
        <w:t>continuous</w:t>
      </w:r>
      <w:r w:rsidR="0078018A">
        <w:t xml:space="preserve"> innovation.</w:t>
      </w:r>
    </w:p>
    <w:p w14:paraId="2E5C55E7" w14:textId="702A792F" w:rsidR="005E34B5" w:rsidRDefault="005E34B5" w:rsidP="00796743">
      <w:pPr>
        <w:jc w:val="both"/>
      </w:pPr>
      <w:r>
        <w:t xml:space="preserve">Focusing on </w:t>
      </w:r>
      <w:r w:rsidR="00796743">
        <w:t xml:space="preserve">the </w:t>
      </w:r>
      <w:r>
        <w:t>Directive, we would stress the importance of:</w:t>
      </w:r>
    </w:p>
    <w:p w14:paraId="05167F38" w14:textId="7910B52F" w:rsidR="00796743" w:rsidRDefault="00796743" w:rsidP="00796743">
      <w:pPr>
        <w:jc w:val="both"/>
      </w:pPr>
      <w:r>
        <w:t xml:space="preserve">1. </w:t>
      </w:r>
      <w:r w:rsidR="005E34B5" w:rsidRPr="00A47521">
        <w:rPr>
          <w:b/>
          <w:bCs/>
        </w:rPr>
        <w:t>Ensuring predictability and legal certainty to prevent delays in access to generic and biosimilar medicines</w:t>
      </w:r>
      <w:r w:rsidRPr="00A47521">
        <w:rPr>
          <w:b/>
          <w:bCs/>
        </w:rPr>
        <w:t>, by:</w:t>
      </w:r>
      <w:r>
        <w:t xml:space="preserve"> a) </w:t>
      </w:r>
      <w:r w:rsidR="005E34B5">
        <w:t>clarify</w:t>
      </w:r>
      <w:r>
        <w:t xml:space="preserve">ing </w:t>
      </w:r>
      <w:r w:rsidR="005E34B5">
        <w:t>the Bolar provision</w:t>
      </w:r>
      <w:r>
        <w:t xml:space="preserve"> to allow immediate day-1 competition after </w:t>
      </w:r>
      <w:r w:rsidR="00FB6D08">
        <w:t xml:space="preserve">IP </w:t>
      </w:r>
      <w:r>
        <w:t>expiry,</w:t>
      </w:r>
      <w:r w:rsidR="005E34B5">
        <w:t xml:space="preserve"> </w:t>
      </w:r>
      <w:r>
        <w:t>through the inclusion of</w:t>
      </w:r>
      <w:r w:rsidR="005E34B5">
        <w:t xml:space="preserve"> the supply of EU produced APIs for obtaining marketing authorisations</w:t>
      </w:r>
      <w:r w:rsidR="00AD1668">
        <w:t xml:space="preserve"> (API supply, offer, export, manufacturing)</w:t>
      </w:r>
      <w:r w:rsidR="005E34B5">
        <w:t xml:space="preserve"> and </w:t>
      </w:r>
      <w:r w:rsidR="00CC5393">
        <w:t>all</w:t>
      </w:r>
      <w:r w:rsidR="00990AA6">
        <w:t xml:space="preserve"> necessary</w:t>
      </w:r>
      <w:r w:rsidR="00CC5393">
        <w:t xml:space="preserve"> regulatory and administrative steps</w:t>
      </w:r>
      <w:r w:rsidR="00AD1668">
        <w:t xml:space="preserve"> (</w:t>
      </w:r>
      <w:r w:rsidR="00DC59DB">
        <w:t>MA/P&amp;R list</w:t>
      </w:r>
      <w:r w:rsidR="00A065AE">
        <w:t>/tender bids)</w:t>
      </w:r>
      <w:r w:rsidR="005E34B5">
        <w:t>;</w:t>
      </w:r>
      <w:r>
        <w:t xml:space="preserve"> b)</w:t>
      </w:r>
      <w:r w:rsidR="005E34B5">
        <w:t xml:space="preserve"> modulat</w:t>
      </w:r>
      <w:r>
        <w:t xml:space="preserve">ing </w:t>
      </w:r>
      <w:r w:rsidR="005E34B5">
        <w:t>market protection rather than data protection</w:t>
      </w:r>
      <w:r>
        <w:t>, to ensure that in case the originator manufacturer does not supply the product to all EU markets, generic or biosimilar medicines would be approved in time to supply the underserved market</w:t>
      </w:r>
      <w:r w:rsidR="00D92F50">
        <w:t>s</w:t>
      </w:r>
      <w:r>
        <w:t xml:space="preserve">; c) ensuring the cumulative data and market protection period does not </w:t>
      </w:r>
      <w:r w:rsidR="00CD0927">
        <w:t>exceed</w:t>
      </w:r>
      <w:r>
        <w:t xml:space="preserve"> the current 11</w:t>
      </w:r>
      <w:r w:rsidR="00CD0927">
        <w:t>-</w:t>
      </w:r>
      <w:r>
        <w:t>year</w:t>
      </w:r>
      <w:r w:rsidR="00D92F50">
        <w:t xml:space="preserve"> cap</w:t>
      </w:r>
      <w:r>
        <w:t>.</w:t>
      </w:r>
    </w:p>
    <w:p w14:paraId="67790ADA" w14:textId="08B298FF" w:rsidR="00B53994" w:rsidRDefault="00796743" w:rsidP="00796743">
      <w:pPr>
        <w:jc w:val="both"/>
      </w:pPr>
      <w:r>
        <w:t>2</w:t>
      </w:r>
      <w:r w:rsidRPr="00A47521">
        <w:rPr>
          <w:b/>
          <w:bCs/>
        </w:rPr>
        <w:t>. Establishing a clear European strategy to prevent and mitigate shortages, by:</w:t>
      </w:r>
      <w:r>
        <w:t xml:space="preserve"> </w:t>
      </w:r>
      <w:r w:rsidR="00B53994">
        <w:t xml:space="preserve">a) </w:t>
      </w:r>
      <w:r>
        <w:t xml:space="preserve">increasing the visibility and transparency of the supply chain through a single interoperable reporting system, leveraging existing </w:t>
      </w:r>
      <w:r w:rsidR="00045B3B">
        <w:t>data sources</w:t>
      </w:r>
      <w:r>
        <w:t xml:space="preserve"> </w:t>
      </w:r>
      <w:r w:rsidR="00EC3B2D">
        <w:t>like</w:t>
      </w:r>
      <w:r>
        <w:t xml:space="preserve"> the </w:t>
      </w:r>
      <w:r w:rsidR="009F4AFB">
        <w:t>European Medicines Verification System</w:t>
      </w:r>
      <w:r w:rsidR="00B53994">
        <w:t>; b) allowing faster pan-European implementation of electronic product information</w:t>
      </w:r>
      <w:r w:rsidR="007707B1">
        <w:t>, starting with hospital products,</w:t>
      </w:r>
      <w:r w:rsidR="00317209">
        <w:t xml:space="preserve"> </w:t>
      </w:r>
      <w:r w:rsidR="00B53994">
        <w:t>t</w:t>
      </w:r>
      <w:r w:rsidR="00EE2D40">
        <w:t>hus</w:t>
      </w:r>
      <w:r w:rsidR="004C5FBA">
        <w:t xml:space="preserve"> </w:t>
      </w:r>
      <w:r w:rsidR="00B53994">
        <w:t xml:space="preserve">enabling </w:t>
      </w:r>
      <w:r w:rsidR="00767688">
        <w:t>faster reallocation of medicines</w:t>
      </w:r>
      <w:r w:rsidR="00B53994">
        <w:t xml:space="preserve"> </w:t>
      </w:r>
      <w:r w:rsidR="00EE2D40">
        <w:t>across Member States</w:t>
      </w:r>
      <w:r w:rsidR="00233431">
        <w:t>.</w:t>
      </w:r>
    </w:p>
    <w:p w14:paraId="78868E6B" w14:textId="6035E223" w:rsidR="00B53994" w:rsidRDefault="00B53994" w:rsidP="00796743">
      <w:pPr>
        <w:jc w:val="both"/>
      </w:pPr>
      <w:r>
        <w:t xml:space="preserve">3. </w:t>
      </w:r>
      <w:r w:rsidRPr="007233DD">
        <w:rPr>
          <w:b/>
          <w:bCs/>
        </w:rPr>
        <w:t>Ensuring an efficient regulatory system that delivers on medicine availability</w:t>
      </w:r>
      <w:r>
        <w:t xml:space="preserve">. The proposal already </w:t>
      </w:r>
      <w:r w:rsidR="00CD25C4">
        <w:t>foresees</w:t>
      </w:r>
      <w:r>
        <w:t xml:space="preserve"> several key provisions to optimise regulatory operations</w:t>
      </w:r>
      <w:r w:rsidR="0024160C">
        <w:t xml:space="preserve"> </w:t>
      </w:r>
      <w:r w:rsidR="00207809" w:rsidRPr="00207809">
        <w:t xml:space="preserve">but we still see areas where optimisation can go further to ensure faster </w:t>
      </w:r>
      <w:r w:rsidR="00B240DF">
        <w:t>patient access to affordable treatments</w:t>
      </w:r>
      <w:r>
        <w:t xml:space="preserve"> by: </w:t>
      </w:r>
      <w:r w:rsidR="00FB0EC4">
        <w:t>a</w:t>
      </w:r>
      <w:r>
        <w:t xml:space="preserve">) </w:t>
      </w:r>
      <w:r w:rsidR="00871A5B">
        <w:t>avoiding limiting</w:t>
      </w:r>
      <w:r>
        <w:t xml:space="preserve"> the mutual recognition procedure within a year </w:t>
      </w:r>
      <w:r w:rsidR="009E00B3">
        <w:t>of</w:t>
      </w:r>
      <w:r>
        <w:t xml:space="preserve"> MA granting </w:t>
      </w:r>
      <w:r w:rsidR="00965CF3">
        <w:t xml:space="preserve"> </w:t>
      </w:r>
      <w:r w:rsidR="007672CC">
        <w:t>b</w:t>
      </w:r>
      <w:r w:rsidR="00965CF3">
        <w:t xml:space="preserve">) </w:t>
      </w:r>
      <w:r w:rsidR="00CA71F2">
        <w:t xml:space="preserve">offering a pragmatic path for </w:t>
      </w:r>
      <w:r w:rsidR="00902A13">
        <w:t>the national competent authorities</w:t>
      </w:r>
      <w:r w:rsidR="00CA71F2">
        <w:t xml:space="preserve"> to opt-in </w:t>
      </w:r>
      <w:r w:rsidR="00902A13">
        <w:t>national</w:t>
      </w:r>
      <w:r w:rsidR="00CA71F2">
        <w:t xml:space="preserve"> procedures </w:t>
      </w:r>
      <w:r w:rsidR="00F82376">
        <w:t xml:space="preserve">by allowing </w:t>
      </w:r>
      <w:r w:rsidR="00902A13">
        <w:t>them</w:t>
      </w:r>
      <w:r w:rsidR="00F82376">
        <w:t xml:space="preserve"> to recognise for public health reasons </w:t>
      </w:r>
      <w:r w:rsidR="00C50EAE">
        <w:t>the MA procedure within 5 days after the procedure has been closed</w:t>
      </w:r>
      <w:r w:rsidR="00774791">
        <w:t xml:space="preserve"> </w:t>
      </w:r>
      <w:r w:rsidR="00BB4D68">
        <w:t xml:space="preserve">c) </w:t>
      </w:r>
      <w:r w:rsidR="009D13B0">
        <w:t xml:space="preserve">ensuring a </w:t>
      </w:r>
      <w:r w:rsidR="0074599E">
        <w:t xml:space="preserve">greater flexibility </w:t>
      </w:r>
      <w:r w:rsidR="00F04A3B">
        <w:t xml:space="preserve">in choosing </w:t>
      </w:r>
      <w:r w:rsidR="00EC45BC">
        <w:t xml:space="preserve">the marketing authorisation </w:t>
      </w:r>
      <w:r w:rsidR="00A36955">
        <w:t>route</w:t>
      </w:r>
      <w:r w:rsidR="009D66A8">
        <w:t xml:space="preserve"> </w:t>
      </w:r>
      <w:r w:rsidR="00831449">
        <w:t>d</w:t>
      </w:r>
      <w:r w:rsidR="00774791">
        <w:t xml:space="preserve">) </w:t>
      </w:r>
      <w:r w:rsidR="00EF169A">
        <w:t xml:space="preserve">adjusting the ownership of the </w:t>
      </w:r>
      <w:r w:rsidR="00317209">
        <w:t xml:space="preserve">ASMF </w:t>
      </w:r>
      <w:r w:rsidR="00EE57BF">
        <w:t xml:space="preserve">to the legal entity that has ultimate responsibility for the ASMF. </w:t>
      </w:r>
    </w:p>
    <w:p w14:paraId="46ECF923" w14:textId="3A6F7144" w:rsidR="00FE51C6" w:rsidRDefault="00FE51C6" w:rsidP="00796743">
      <w:pPr>
        <w:jc w:val="both"/>
      </w:pPr>
      <w:r>
        <w:t xml:space="preserve">4. </w:t>
      </w:r>
      <w:r w:rsidR="0085338F" w:rsidRPr="3F3EAFF3">
        <w:rPr>
          <w:b/>
          <w:bCs/>
        </w:rPr>
        <w:t xml:space="preserve">Adopting </w:t>
      </w:r>
      <w:r w:rsidRPr="3F3EAFF3">
        <w:rPr>
          <w:b/>
          <w:bCs/>
        </w:rPr>
        <w:t>a science-driven</w:t>
      </w:r>
      <w:r w:rsidR="006756B3" w:rsidRPr="3F3EAFF3">
        <w:rPr>
          <w:b/>
          <w:bCs/>
        </w:rPr>
        <w:t xml:space="preserve"> and </w:t>
      </w:r>
      <w:r w:rsidR="00A23D7C" w:rsidRPr="3F3EAFF3">
        <w:rPr>
          <w:b/>
          <w:bCs/>
        </w:rPr>
        <w:t>risk-based</w:t>
      </w:r>
      <w:r w:rsidRPr="3F3EAFF3">
        <w:rPr>
          <w:b/>
          <w:bCs/>
        </w:rPr>
        <w:t xml:space="preserve"> environmental risk assessment (ERA) to reduce the environmental footprint </w:t>
      </w:r>
      <w:r w:rsidR="00950A29" w:rsidRPr="3F3EAFF3">
        <w:rPr>
          <w:b/>
          <w:bCs/>
        </w:rPr>
        <w:t>while safeguarding</w:t>
      </w:r>
      <w:r w:rsidRPr="3F3EAFF3">
        <w:rPr>
          <w:b/>
          <w:bCs/>
        </w:rPr>
        <w:t xml:space="preserve"> patient</w:t>
      </w:r>
      <w:r w:rsidR="00DF1E97" w:rsidRPr="3F3EAFF3">
        <w:rPr>
          <w:b/>
          <w:bCs/>
        </w:rPr>
        <w:t xml:space="preserve"> access</w:t>
      </w:r>
      <w:r>
        <w:t xml:space="preserve">. We support </w:t>
      </w:r>
      <w:r w:rsidR="00F76E58">
        <w:t xml:space="preserve">the </w:t>
      </w:r>
      <w:r w:rsidR="004F7742">
        <w:t xml:space="preserve">development of a </w:t>
      </w:r>
      <w:r w:rsidR="00F76E58">
        <w:t xml:space="preserve">streamlined process for referencing originator ERA </w:t>
      </w:r>
      <w:r w:rsidR="00317209">
        <w:t>for generic</w:t>
      </w:r>
      <w:r w:rsidR="00F76E58">
        <w:t>, biosimilar</w:t>
      </w:r>
      <w:r w:rsidR="00317209">
        <w:t xml:space="preserve"> </w:t>
      </w:r>
      <w:r w:rsidR="00F76E58">
        <w:t>and fixed-dose combination</w:t>
      </w:r>
      <w:r>
        <w:t xml:space="preserve"> </w:t>
      </w:r>
      <w:r w:rsidR="004F7742">
        <w:t xml:space="preserve">products </w:t>
      </w:r>
      <w:r w:rsidR="00F76E58">
        <w:t>in order to</w:t>
      </w:r>
      <w:r w:rsidR="002E709C">
        <w:t xml:space="preserve"> </w:t>
      </w:r>
      <w:r>
        <w:t xml:space="preserve">avoid </w:t>
      </w:r>
      <w:proofErr w:type="gramStart"/>
      <w:r>
        <w:t xml:space="preserve">unnecessary </w:t>
      </w:r>
      <w:r w:rsidR="00F76E58">
        <w:t xml:space="preserve"> duplication</w:t>
      </w:r>
      <w:proofErr w:type="gramEnd"/>
      <w:r w:rsidR="00F76E58">
        <w:t xml:space="preserve"> of efforts</w:t>
      </w:r>
      <w:r>
        <w:t xml:space="preserve"> and delays in access to medicines. In </w:t>
      </w:r>
      <w:r>
        <w:lastRenderedPageBreak/>
        <w:t xml:space="preserve">addition, we </w:t>
      </w:r>
      <w:proofErr w:type="gramStart"/>
      <w:r>
        <w:t>recommend:</w:t>
      </w:r>
      <w:proofErr w:type="gramEnd"/>
      <w:r>
        <w:t xml:space="preserve"> a) </w:t>
      </w:r>
      <w:r w:rsidR="00DF1E97">
        <w:t xml:space="preserve">ensuring that </w:t>
      </w:r>
      <w:r w:rsidR="00813C56">
        <w:t xml:space="preserve">post-MA </w:t>
      </w:r>
      <w:r w:rsidR="00091560">
        <w:t xml:space="preserve">ERA </w:t>
      </w:r>
      <w:r w:rsidR="000028DC">
        <w:t>condition</w:t>
      </w:r>
      <w:r w:rsidR="00091560">
        <w:t xml:space="preserve"> </w:t>
      </w:r>
      <w:r w:rsidR="00E72824">
        <w:t>is sufficient</w:t>
      </w:r>
      <w:r w:rsidR="000028DC">
        <w:t xml:space="preserve"> </w:t>
      </w:r>
      <w:r w:rsidR="00E72824">
        <w:t>for authorisation</w:t>
      </w:r>
      <w:r w:rsidR="000028DC">
        <w:t xml:space="preserve"> of </w:t>
      </w:r>
      <w:r w:rsidR="00E72824">
        <w:t xml:space="preserve">products </w:t>
      </w:r>
      <w:r w:rsidR="000028DC">
        <w:t>where</w:t>
      </w:r>
      <w:r w:rsidR="00DF1E97">
        <w:t xml:space="preserve"> ERA is </w:t>
      </w:r>
      <w:r w:rsidR="000028DC">
        <w:t>not (</w:t>
      </w:r>
      <w:r w:rsidR="00DF1E97">
        <w:t>yet</w:t>
      </w:r>
      <w:r w:rsidR="000028DC">
        <w:t>)</w:t>
      </w:r>
      <w:r w:rsidR="00DF1E97">
        <w:t xml:space="preserve"> available b) </w:t>
      </w:r>
      <w:r w:rsidR="002E3A9E">
        <w:t>adopting AMR-related measures for products with</w:t>
      </w:r>
      <w:r w:rsidR="00FA7BE2">
        <w:t xml:space="preserve"> a confirmed high risk </w:t>
      </w:r>
      <w:r w:rsidR="002E3A9E">
        <w:t>of developing resistance</w:t>
      </w:r>
      <w:r w:rsidR="00233431">
        <w:t>.</w:t>
      </w:r>
    </w:p>
    <w:p w14:paraId="0916BD8C" w14:textId="2CDCBFA9" w:rsidR="00796743" w:rsidRDefault="00827C0D" w:rsidP="00796743">
      <w:pPr>
        <w:jc w:val="both"/>
      </w:pPr>
      <w:r>
        <w:t xml:space="preserve">5. </w:t>
      </w:r>
      <w:r w:rsidRPr="007233DD">
        <w:rPr>
          <w:b/>
          <w:bCs/>
        </w:rPr>
        <w:t>Supporting affordable innovation to address patient needs via a clear pathway for value</w:t>
      </w:r>
      <w:r w:rsidR="005A6FBB">
        <w:rPr>
          <w:b/>
          <w:bCs/>
        </w:rPr>
        <w:t xml:space="preserve"> </w:t>
      </w:r>
      <w:r w:rsidRPr="007233DD">
        <w:rPr>
          <w:b/>
          <w:bCs/>
        </w:rPr>
        <w:t>added medicines</w:t>
      </w:r>
      <w:r>
        <w:t>. The proposal recognises the importance of repurpose</w:t>
      </w:r>
      <w:r w:rsidR="005A6FBB">
        <w:t>d</w:t>
      </w:r>
      <w:r>
        <w:t xml:space="preserve"> </w:t>
      </w:r>
      <w:proofErr w:type="gramStart"/>
      <w:r>
        <w:t>value</w:t>
      </w:r>
      <w:r w:rsidR="005A6FBB">
        <w:t xml:space="preserve"> </w:t>
      </w:r>
      <w:r>
        <w:t>added</w:t>
      </w:r>
      <w:proofErr w:type="gramEnd"/>
      <w:r>
        <w:t xml:space="preserve"> medicines with a non-cumulative 4-year data protection. </w:t>
      </w:r>
      <w:r w:rsidR="0065357B">
        <w:t>We recommend including in the scope</w:t>
      </w:r>
      <w:r>
        <w:t xml:space="preserve"> all relevant changes which deliver significant benefit to patients</w:t>
      </w:r>
      <w:r w:rsidR="00DF1E97">
        <w:t xml:space="preserve">, </w:t>
      </w:r>
      <w:r>
        <w:t>such as repositioning, reformulation and complex combinations</w:t>
      </w:r>
      <w:r w:rsidR="00915536">
        <w:t>, while ensuring the article is not misused for evergreening practices</w:t>
      </w:r>
      <w:r>
        <w:t>.</w:t>
      </w:r>
    </w:p>
    <w:p w14:paraId="74EE3D53" w14:textId="112E7397" w:rsidR="00B34179" w:rsidRDefault="003F33DB" w:rsidP="00796743">
      <w:pPr>
        <w:jc w:val="both"/>
      </w:pPr>
      <w:r>
        <w:t>We are</w:t>
      </w:r>
      <w:r w:rsidR="00B34179">
        <w:t xml:space="preserve"> ready to continue the dialogue with the co-legislators, the Commission</w:t>
      </w:r>
      <w:r w:rsidR="0093761B">
        <w:t xml:space="preserve">, </w:t>
      </w:r>
      <w:proofErr w:type="gramStart"/>
      <w:r w:rsidR="0093761B">
        <w:t>patients</w:t>
      </w:r>
      <w:proofErr w:type="gramEnd"/>
      <w:r w:rsidR="0093761B">
        <w:t xml:space="preserve"> </w:t>
      </w:r>
      <w:r w:rsidR="00CC5393">
        <w:t xml:space="preserve">and </w:t>
      </w:r>
      <w:r w:rsidR="0093761B">
        <w:t xml:space="preserve">other </w:t>
      </w:r>
      <w:r w:rsidR="00B34179">
        <w:t>stakeholders</w:t>
      </w:r>
      <w:r w:rsidR="0078018A">
        <w:t xml:space="preserve"> to </w:t>
      </w:r>
      <w:r w:rsidR="0093761B">
        <w:t>improve medicines’ availability, accessibility and affordability</w:t>
      </w:r>
      <w:r w:rsidR="00E9283F">
        <w:t xml:space="preserve"> and achieve an open strategic autonomy in healthcare.</w:t>
      </w:r>
    </w:p>
    <w:p w14:paraId="0B8D9389" w14:textId="77777777" w:rsidR="00B34179" w:rsidRDefault="00B34179" w:rsidP="00796743">
      <w:pPr>
        <w:jc w:val="both"/>
      </w:pPr>
    </w:p>
    <w:p w14:paraId="56056309" w14:textId="77777777" w:rsidR="005E34B5" w:rsidRDefault="005E34B5">
      <w:pPr>
        <w:rPr>
          <w:b/>
          <w:bCs/>
        </w:rPr>
      </w:pPr>
    </w:p>
    <w:p w14:paraId="6E7BCA8E" w14:textId="77777777" w:rsidR="005E34B5" w:rsidRPr="005E34B5" w:rsidRDefault="005E34B5">
      <w:pPr>
        <w:rPr>
          <w:b/>
          <w:bCs/>
        </w:rPr>
      </w:pPr>
    </w:p>
    <w:sectPr w:rsidR="005E34B5" w:rsidRPr="005E34B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7E5D" w14:textId="77777777" w:rsidR="007B7CA1" w:rsidRDefault="007B7CA1" w:rsidP="005E34B5">
      <w:pPr>
        <w:spacing w:after="0" w:line="240" w:lineRule="auto"/>
      </w:pPr>
      <w:r>
        <w:separator/>
      </w:r>
    </w:p>
  </w:endnote>
  <w:endnote w:type="continuationSeparator" w:id="0">
    <w:p w14:paraId="16BA5614" w14:textId="77777777" w:rsidR="007B7CA1" w:rsidRDefault="007B7CA1" w:rsidP="005E34B5">
      <w:pPr>
        <w:spacing w:after="0" w:line="240" w:lineRule="auto"/>
      </w:pPr>
      <w:r>
        <w:continuationSeparator/>
      </w:r>
    </w:p>
  </w:endnote>
  <w:endnote w:type="continuationNotice" w:id="1">
    <w:p w14:paraId="59F1A53A" w14:textId="77777777" w:rsidR="007B7CA1" w:rsidRDefault="007B7C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8AE0" w14:textId="77777777" w:rsidR="007B7CA1" w:rsidRDefault="007B7CA1" w:rsidP="005E34B5">
      <w:pPr>
        <w:spacing w:after="0" w:line="240" w:lineRule="auto"/>
      </w:pPr>
      <w:r>
        <w:separator/>
      </w:r>
    </w:p>
  </w:footnote>
  <w:footnote w:type="continuationSeparator" w:id="0">
    <w:p w14:paraId="301DB45E" w14:textId="77777777" w:rsidR="007B7CA1" w:rsidRDefault="007B7CA1" w:rsidP="005E34B5">
      <w:pPr>
        <w:spacing w:after="0" w:line="240" w:lineRule="auto"/>
      </w:pPr>
      <w:r>
        <w:continuationSeparator/>
      </w:r>
    </w:p>
  </w:footnote>
  <w:footnote w:type="continuationNotice" w:id="1">
    <w:p w14:paraId="70A11123" w14:textId="77777777" w:rsidR="007B7CA1" w:rsidRDefault="007B7C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08DA" w14:textId="77777777" w:rsidR="00F52369" w:rsidRDefault="00F52369" w:rsidP="00F52369">
    <w:pPr>
      <w:pStyle w:val="Header"/>
      <w:rPr>
        <w:sz w:val="44"/>
      </w:rPr>
    </w:pPr>
    <w:r w:rsidRPr="002305F5">
      <w:rPr>
        <w:noProof/>
        <w:sz w:val="44"/>
        <w:lang w:eastAsia="en-GB"/>
      </w:rPr>
      <w:drawing>
        <wp:anchor distT="0" distB="0" distL="114300" distR="114300" simplePos="0" relativeHeight="251659264" behindDoc="1" locked="0" layoutInCell="1" allowOverlap="1" wp14:anchorId="68B3740C" wp14:editId="4777E6BF">
          <wp:simplePos x="0" y="0"/>
          <wp:positionH relativeFrom="page">
            <wp:posOffset>0</wp:posOffset>
          </wp:positionH>
          <wp:positionV relativeFrom="paragraph">
            <wp:posOffset>-561975</wp:posOffset>
          </wp:positionV>
          <wp:extent cx="7547325" cy="1111563"/>
          <wp:effectExtent l="0" t="0" r="0" b="6350"/>
          <wp:wrapNone/>
          <wp:docPr id="23" name="Pictur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GA_Bann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601" cy="1116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DDC06ED" wp14:editId="5D028E42">
          <wp:simplePos x="0" y="0"/>
          <wp:positionH relativeFrom="margin">
            <wp:posOffset>2273935</wp:posOffset>
          </wp:positionH>
          <wp:positionV relativeFrom="paragraph">
            <wp:posOffset>-202397</wp:posOffset>
          </wp:positionV>
          <wp:extent cx="1784350" cy="646729"/>
          <wp:effectExtent l="0" t="0" r="0" b="1270"/>
          <wp:wrapNone/>
          <wp:docPr id="22" name="Picture 22" descr="A close-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close-up of a sig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646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B9280" w14:textId="77777777" w:rsidR="00F52369" w:rsidRDefault="00F52369" w:rsidP="00F52369">
    <w:pPr>
      <w:pStyle w:val="NoSpacing"/>
      <w:rPr>
        <w:noProof/>
        <w:lang w:eastAsia="en-GB"/>
      </w:rPr>
    </w:pPr>
  </w:p>
  <w:p w14:paraId="2760035B" w14:textId="77777777" w:rsidR="00F52369" w:rsidRDefault="00F52369" w:rsidP="000F21D9">
    <w:pPr>
      <w:pStyle w:val="NoSpacing"/>
      <w:jc w:val="center"/>
      <w:rPr>
        <w:noProof/>
        <w:lang w:eastAsia="en-GB"/>
      </w:rPr>
    </w:pPr>
  </w:p>
  <w:p w14:paraId="214A5989" w14:textId="617D1CBF" w:rsidR="005E34B5" w:rsidRPr="00F52369" w:rsidRDefault="00F52369" w:rsidP="000F21D9">
    <w:pPr>
      <w:pStyle w:val="Header"/>
      <w:jc w:val="center"/>
      <w:rPr>
        <w:sz w:val="48"/>
        <w:szCs w:val="48"/>
      </w:rPr>
    </w:pPr>
    <w:r w:rsidRPr="00F52369">
      <w:rPr>
        <w:rFonts w:asciiTheme="majorHAnsi" w:eastAsiaTheme="majorEastAsia" w:hAnsiTheme="majorHAnsi" w:cstheme="majorBidi"/>
        <w:noProof/>
        <w:color w:val="2F5496" w:themeColor="accent1" w:themeShade="BF"/>
        <w:spacing w:val="-7"/>
        <w:kern w:val="0"/>
        <w:sz w:val="48"/>
        <w:szCs w:val="48"/>
        <w:lang w:eastAsia="en-GB"/>
        <w14:ligatures w14:val="none"/>
      </w:rPr>
      <w:t>Medicines for Europe re</w:t>
    </w:r>
    <w:r w:rsidR="006F4D0E">
      <w:rPr>
        <w:rFonts w:asciiTheme="majorHAnsi" w:eastAsiaTheme="majorEastAsia" w:hAnsiTheme="majorHAnsi" w:cstheme="majorBidi"/>
        <w:noProof/>
        <w:color w:val="2F5496" w:themeColor="accent1" w:themeShade="BF"/>
        <w:spacing w:val="-7"/>
        <w:kern w:val="0"/>
        <w:sz w:val="48"/>
        <w:szCs w:val="48"/>
        <w:lang w:eastAsia="en-GB"/>
        <w14:ligatures w14:val="none"/>
      </w:rPr>
      <w:t>sponse</w:t>
    </w:r>
    <w:r w:rsidRPr="00F52369">
      <w:rPr>
        <w:rFonts w:asciiTheme="majorHAnsi" w:eastAsiaTheme="majorEastAsia" w:hAnsiTheme="majorHAnsi" w:cstheme="majorBidi"/>
        <w:noProof/>
        <w:color w:val="2F5496" w:themeColor="accent1" w:themeShade="BF"/>
        <w:spacing w:val="-7"/>
        <w:kern w:val="0"/>
        <w:sz w:val="48"/>
        <w:szCs w:val="48"/>
        <w:lang w:eastAsia="en-GB"/>
        <w14:ligatures w14:val="none"/>
      </w:rPr>
      <w:t xml:space="preserve"> to the European Commission call for feedback on the revision of Pharmaceutical Directive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B5"/>
    <w:rsid w:val="000028DC"/>
    <w:rsid w:val="00015C5C"/>
    <w:rsid w:val="0002762D"/>
    <w:rsid w:val="00045B3B"/>
    <w:rsid w:val="00085C07"/>
    <w:rsid w:val="00091560"/>
    <w:rsid w:val="000959EB"/>
    <w:rsid w:val="000B1411"/>
    <w:rsid w:val="000C52D7"/>
    <w:rsid w:val="000D40BA"/>
    <w:rsid w:val="000D44AF"/>
    <w:rsid w:val="000E6949"/>
    <w:rsid w:val="000F21D9"/>
    <w:rsid w:val="00120F27"/>
    <w:rsid w:val="00130A26"/>
    <w:rsid w:val="00132DF8"/>
    <w:rsid w:val="00155623"/>
    <w:rsid w:val="001A06EB"/>
    <w:rsid w:val="00207809"/>
    <w:rsid w:val="0022456B"/>
    <w:rsid w:val="002317A5"/>
    <w:rsid w:val="00233431"/>
    <w:rsid w:val="00236A64"/>
    <w:rsid w:val="0024160C"/>
    <w:rsid w:val="002A0DEE"/>
    <w:rsid w:val="002B629A"/>
    <w:rsid w:val="002D77ED"/>
    <w:rsid w:val="002E05B1"/>
    <w:rsid w:val="002E3A9E"/>
    <w:rsid w:val="002E709C"/>
    <w:rsid w:val="00304D8B"/>
    <w:rsid w:val="0030679C"/>
    <w:rsid w:val="00317209"/>
    <w:rsid w:val="00336A2A"/>
    <w:rsid w:val="00347D3B"/>
    <w:rsid w:val="00360FC6"/>
    <w:rsid w:val="00370C5B"/>
    <w:rsid w:val="003875F0"/>
    <w:rsid w:val="0039739F"/>
    <w:rsid w:val="003B302B"/>
    <w:rsid w:val="003B6DEC"/>
    <w:rsid w:val="003C28EF"/>
    <w:rsid w:val="003C668A"/>
    <w:rsid w:val="003F33DB"/>
    <w:rsid w:val="003F40FD"/>
    <w:rsid w:val="00401574"/>
    <w:rsid w:val="00402052"/>
    <w:rsid w:val="00433F58"/>
    <w:rsid w:val="00446F3E"/>
    <w:rsid w:val="00450897"/>
    <w:rsid w:val="00460477"/>
    <w:rsid w:val="00472A53"/>
    <w:rsid w:val="00472B27"/>
    <w:rsid w:val="004A557D"/>
    <w:rsid w:val="004A72AC"/>
    <w:rsid w:val="004B6DA6"/>
    <w:rsid w:val="004C5FBA"/>
    <w:rsid w:val="004E3C8D"/>
    <w:rsid w:val="004F7742"/>
    <w:rsid w:val="0050393F"/>
    <w:rsid w:val="00511A5C"/>
    <w:rsid w:val="005606BE"/>
    <w:rsid w:val="00563092"/>
    <w:rsid w:val="00570C78"/>
    <w:rsid w:val="005908DA"/>
    <w:rsid w:val="005A6FBB"/>
    <w:rsid w:val="005C7B5B"/>
    <w:rsid w:val="005E34B5"/>
    <w:rsid w:val="00605CFC"/>
    <w:rsid w:val="00635EF6"/>
    <w:rsid w:val="00647B15"/>
    <w:rsid w:val="00650312"/>
    <w:rsid w:val="0065357B"/>
    <w:rsid w:val="006619BB"/>
    <w:rsid w:val="006756B3"/>
    <w:rsid w:val="006A20CA"/>
    <w:rsid w:val="006A2C70"/>
    <w:rsid w:val="006C1B93"/>
    <w:rsid w:val="006E04B5"/>
    <w:rsid w:val="006F4D0E"/>
    <w:rsid w:val="006F74FA"/>
    <w:rsid w:val="00703270"/>
    <w:rsid w:val="00704DD7"/>
    <w:rsid w:val="00715563"/>
    <w:rsid w:val="00717E78"/>
    <w:rsid w:val="007233DD"/>
    <w:rsid w:val="00744A96"/>
    <w:rsid w:val="0074599E"/>
    <w:rsid w:val="00755070"/>
    <w:rsid w:val="007672CC"/>
    <w:rsid w:val="00767688"/>
    <w:rsid w:val="007707B1"/>
    <w:rsid w:val="00774791"/>
    <w:rsid w:val="0078018A"/>
    <w:rsid w:val="0079159C"/>
    <w:rsid w:val="00796743"/>
    <w:rsid w:val="007B7CA1"/>
    <w:rsid w:val="007C6CBE"/>
    <w:rsid w:val="007F2711"/>
    <w:rsid w:val="00813C56"/>
    <w:rsid w:val="00827C0D"/>
    <w:rsid w:val="00831449"/>
    <w:rsid w:val="00834EDD"/>
    <w:rsid w:val="0085338F"/>
    <w:rsid w:val="00871A5B"/>
    <w:rsid w:val="008C3BB7"/>
    <w:rsid w:val="008E0108"/>
    <w:rsid w:val="00902A13"/>
    <w:rsid w:val="00915536"/>
    <w:rsid w:val="009339BE"/>
    <w:rsid w:val="0093761B"/>
    <w:rsid w:val="00950A29"/>
    <w:rsid w:val="00965CF3"/>
    <w:rsid w:val="0097637F"/>
    <w:rsid w:val="00990AA6"/>
    <w:rsid w:val="00994AC1"/>
    <w:rsid w:val="009D13B0"/>
    <w:rsid w:val="009D66A8"/>
    <w:rsid w:val="009E00B3"/>
    <w:rsid w:val="009F4AFB"/>
    <w:rsid w:val="00A065AE"/>
    <w:rsid w:val="00A23D7C"/>
    <w:rsid w:val="00A36955"/>
    <w:rsid w:val="00A4138A"/>
    <w:rsid w:val="00A47521"/>
    <w:rsid w:val="00A65E27"/>
    <w:rsid w:val="00AA04A7"/>
    <w:rsid w:val="00AD1668"/>
    <w:rsid w:val="00AD5D30"/>
    <w:rsid w:val="00B126A9"/>
    <w:rsid w:val="00B240DF"/>
    <w:rsid w:val="00B34179"/>
    <w:rsid w:val="00B461AE"/>
    <w:rsid w:val="00B53994"/>
    <w:rsid w:val="00BA44B5"/>
    <w:rsid w:val="00BA50F4"/>
    <w:rsid w:val="00BB247B"/>
    <w:rsid w:val="00BB4D68"/>
    <w:rsid w:val="00BD52BB"/>
    <w:rsid w:val="00BE473C"/>
    <w:rsid w:val="00BF033A"/>
    <w:rsid w:val="00C104BA"/>
    <w:rsid w:val="00C2025E"/>
    <w:rsid w:val="00C25D4F"/>
    <w:rsid w:val="00C31CEE"/>
    <w:rsid w:val="00C45711"/>
    <w:rsid w:val="00C50EAE"/>
    <w:rsid w:val="00CA71F2"/>
    <w:rsid w:val="00CC5393"/>
    <w:rsid w:val="00CC6BB1"/>
    <w:rsid w:val="00CD0927"/>
    <w:rsid w:val="00CD25C4"/>
    <w:rsid w:val="00CD399D"/>
    <w:rsid w:val="00CF7938"/>
    <w:rsid w:val="00D26FA9"/>
    <w:rsid w:val="00D479B2"/>
    <w:rsid w:val="00D92F50"/>
    <w:rsid w:val="00DA2781"/>
    <w:rsid w:val="00DC59DB"/>
    <w:rsid w:val="00DF1E97"/>
    <w:rsid w:val="00E166CF"/>
    <w:rsid w:val="00E17F2A"/>
    <w:rsid w:val="00E248C4"/>
    <w:rsid w:val="00E32DC7"/>
    <w:rsid w:val="00E41EFB"/>
    <w:rsid w:val="00E72824"/>
    <w:rsid w:val="00E9283F"/>
    <w:rsid w:val="00E94C3C"/>
    <w:rsid w:val="00EB1775"/>
    <w:rsid w:val="00EC3B2D"/>
    <w:rsid w:val="00EC45BC"/>
    <w:rsid w:val="00ED782A"/>
    <w:rsid w:val="00EE2D40"/>
    <w:rsid w:val="00EE38F9"/>
    <w:rsid w:val="00EE57BF"/>
    <w:rsid w:val="00EF169A"/>
    <w:rsid w:val="00F02334"/>
    <w:rsid w:val="00F04A3B"/>
    <w:rsid w:val="00F1280B"/>
    <w:rsid w:val="00F16382"/>
    <w:rsid w:val="00F22A00"/>
    <w:rsid w:val="00F3732B"/>
    <w:rsid w:val="00F52369"/>
    <w:rsid w:val="00F76E58"/>
    <w:rsid w:val="00F82376"/>
    <w:rsid w:val="00F8316D"/>
    <w:rsid w:val="00FA5CBB"/>
    <w:rsid w:val="00FA64EF"/>
    <w:rsid w:val="00FA7BE2"/>
    <w:rsid w:val="00FB0EC4"/>
    <w:rsid w:val="00FB6D08"/>
    <w:rsid w:val="00FE51C6"/>
    <w:rsid w:val="00FF37C7"/>
    <w:rsid w:val="03189975"/>
    <w:rsid w:val="2C35B080"/>
    <w:rsid w:val="3984F6C0"/>
    <w:rsid w:val="3F3EAFF3"/>
    <w:rsid w:val="688ED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34485"/>
  <w15:chartTrackingRefBased/>
  <w15:docId w15:val="{5BB6774B-93CF-4E82-99E6-F1BB5BC4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4B5"/>
  </w:style>
  <w:style w:type="paragraph" w:styleId="Footer">
    <w:name w:val="footer"/>
    <w:basedOn w:val="Normal"/>
    <w:link w:val="FooterChar"/>
    <w:uiPriority w:val="99"/>
    <w:unhideWhenUsed/>
    <w:rsid w:val="005E3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4B5"/>
  </w:style>
  <w:style w:type="character" w:styleId="Strong">
    <w:name w:val="Strong"/>
    <w:basedOn w:val="DefaultParagraphFont"/>
    <w:uiPriority w:val="22"/>
    <w:qFormat/>
    <w:rsid w:val="00827C0D"/>
    <w:rPr>
      <w:b/>
      <w:bCs/>
    </w:rPr>
  </w:style>
  <w:style w:type="paragraph" w:styleId="Revision">
    <w:name w:val="Revision"/>
    <w:hidden/>
    <w:uiPriority w:val="99"/>
    <w:semiHidden/>
    <w:rsid w:val="00F1638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7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2AC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5236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2F5496" w:themeColor="accent1" w:themeShade="BF"/>
      <w:spacing w:val="-7"/>
      <w:kern w:val="0"/>
      <w:sz w:val="64"/>
      <w:szCs w:val="8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52369"/>
    <w:rPr>
      <w:rFonts w:asciiTheme="majorHAnsi" w:eastAsiaTheme="majorEastAsia" w:hAnsiTheme="majorHAnsi" w:cstheme="majorBidi"/>
      <w:color w:val="2F5496" w:themeColor="accent1" w:themeShade="BF"/>
      <w:spacing w:val="-7"/>
      <w:kern w:val="0"/>
      <w:sz w:val="64"/>
      <w:szCs w:val="80"/>
      <w14:ligatures w14:val="none"/>
    </w:rPr>
  </w:style>
  <w:style w:type="paragraph" w:styleId="NoSpacing">
    <w:name w:val="No Spacing"/>
    <w:aliases w:val="Main Content,MFE Content"/>
    <w:uiPriority w:val="1"/>
    <w:qFormat/>
    <w:rsid w:val="00F52369"/>
    <w:pPr>
      <w:spacing w:after="0" w:line="240" w:lineRule="auto"/>
      <w:jc w:val="both"/>
    </w:pPr>
    <w:rPr>
      <w:rFonts w:eastAsiaTheme="minorEastAsia"/>
      <w:color w:val="000000" w:themeColor="text1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4C07B6123B04EA249496C6F3A8695" ma:contentTypeVersion="16" ma:contentTypeDescription="Create a new document." ma:contentTypeScope="" ma:versionID="ef650baa23d78d63123036546f137968">
  <xsd:schema xmlns:xsd="http://www.w3.org/2001/XMLSchema" xmlns:xs="http://www.w3.org/2001/XMLSchema" xmlns:p="http://schemas.microsoft.com/office/2006/metadata/properties" xmlns:ns2="18620c45-b484-4469-aef3-ac7b58ed2aab" xmlns:ns3="d11dc2e1-44a3-41e2-839d-0cf5d93736b5" targetNamespace="http://schemas.microsoft.com/office/2006/metadata/properties" ma:root="true" ma:fieldsID="fc5cd8cb879266be646f21de550c77ac" ns2:_="" ns3:_="">
    <xsd:import namespace="18620c45-b484-4469-aef3-ac7b58ed2aab"/>
    <xsd:import namespace="d11dc2e1-44a3-41e2-839d-0cf5d9373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20c45-b484-4469-aef3-ac7b58ed2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c91f35-80b3-428a-a1c9-635ea25da8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dc2e1-44a3-41e2-839d-0cf5d9373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da4eb6-5b6a-43be-ac0f-2b1ea0565f20}" ma:internalName="TaxCatchAll" ma:showField="CatchAllData" ma:web="d11dc2e1-44a3-41e2-839d-0cf5d9373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620c45-b484-4469-aef3-ac7b58ed2aab">
      <Terms xmlns="http://schemas.microsoft.com/office/infopath/2007/PartnerControls"/>
    </lcf76f155ced4ddcb4097134ff3c332f>
    <TaxCatchAll xmlns="d11dc2e1-44a3-41e2-839d-0cf5d93736b5" xsi:nil="true"/>
  </documentManagement>
</p:properties>
</file>

<file path=customXml/itemProps1.xml><?xml version="1.0" encoding="utf-8"?>
<ds:datastoreItem xmlns:ds="http://schemas.openxmlformats.org/officeDocument/2006/customXml" ds:itemID="{700E154D-75B4-4BEE-B6BC-D7BBCF220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42C38-620B-4EFC-A2EB-0FEE0D426A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A1EF14-50AD-4E79-BA59-6AB3440C6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20c45-b484-4469-aef3-ac7b58ed2aab"/>
    <ds:schemaRef ds:uri="d11dc2e1-44a3-41e2-839d-0cf5d9373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62DA2-FA56-4DB3-87E0-C03EF7C8DB5E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11dc2e1-44a3-41e2-839d-0cf5d93736b5"/>
    <ds:schemaRef ds:uri="http://purl.org/dc/terms/"/>
    <ds:schemaRef ds:uri="http://purl.org/dc/elements/1.1/"/>
    <ds:schemaRef ds:uri="18620c45-b484-4469-aef3-ac7b58ed2aa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7</cp:revision>
  <cp:lastPrinted>2023-09-26T09:07:00Z</cp:lastPrinted>
  <dcterms:created xsi:type="dcterms:W3CDTF">2023-09-26T09:07:00Z</dcterms:created>
  <dcterms:modified xsi:type="dcterms:W3CDTF">2023-09-29T08:50:00Z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0x0101009F94C07B6123B04EA249496C6F3A8695</vt:lpwstr>
  </property>
  <property fmtid="{D5CDD505-2E9C-101B-9397-08002B2CF9AE}" pid="3" name="MediaServiceImageTags">
    <vt:lpwstr/>
  </property>
  <property fmtid="{D5CDD505-2E9C-101B-9397-08002B2CF9AE}" pid="4" name="GrammarlyDocumentId">
    <vt:lpwstr>23691980aa828d902a6f46a18635ce4af7025640a1dc69703f636bec6da213a4</vt:lpwstr>
  </property>
</Properties>
</file>