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1FFEA" w14:textId="3577DB1B" w:rsidR="00DE5BEA" w:rsidRDefault="00CF2A07" w:rsidP="00DE5BEA">
      <w:pPr>
        <w:jc w:val="center"/>
        <w:rPr>
          <w:b/>
          <w:bCs/>
        </w:rPr>
      </w:pPr>
      <w:r>
        <w:rPr>
          <w:b/>
          <w:bCs/>
        </w:rPr>
        <w:t>September 2023</w:t>
      </w:r>
    </w:p>
    <w:p w14:paraId="50A68587" w14:textId="3CBD1F7C" w:rsidR="00675AB4" w:rsidRDefault="00983FE1" w:rsidP="00675AB4">
      <w:pPr>
        <w:jc w:val="both"/>
        <w:rPr>
          <w:b/>
          <w:bCs/>
        </w:rPr>
      </w:pPr>
      <w:r>
        <w:rPr>
          <w:b/>
          <w:bCs/>
        </w:rPr>
        <w:t>3</w:t>
      </w:r>
      <w:r w:rsidR="009855AF">
        <w:rPr>
          <w:b/>
          <w:bCs/>
        </w:rPr>
        <w:t>4</w:t>
      </w:r>
      <w:r w:rsidR="00A379D5">
        <w:rPr>
          <w:b/>
          <w:bCs/>
        </w:rPr>
        <w:t>87</w:t>
      </w:r>
      <w:r>
        <w:rPr>
          <w:b/>
          <w:bCs/>
        </w:rPr>
        <w:t xml:space="preserve"> characters (max 4000)</w:t>
      </w:r>
    </w:p>
    <w:p w14:paraId="462D916B" w14:textId="423A77B7" w:rsidR="00675AB4" w:rsidRDefault="00675AB4" w:rsidP="00675AB4">
      <w:pPr>
        <w:jc w:val="both"/>
      </w:pPr>
      <w:r>
        <w:t xml:space="preserve">Medicines for Europe, representing manufacturers of generic, biosimilar and </w:t>
      </w:r>
      <w:proofErr w:type="gramStart"/>
      <w:r>
        <w:t>value</w:t>
      </w:r>
      <w:r w:rsidR="4070DB6F">
        <w:t xml:space="preserve"> </w:t>
      </w:r>
      <w:r>
        <w:t>added</w:t>
      </w:r>
      <w:proofErr w:type="gramEnd"/>
      <w:r>
        <w:t xml:space="preserve"> medicines across Europe, welcomes the proposals to review the EU general pharmaceutical legislation.</w:t>
      </w:r>
    </w:p>
    <w:p w14:paraId="1118C667" w14:textId="77777777" w:rsidR="00694959" w:rsidRDefault="00694959" w:rsidP="00694959">
      <w:pPr>
        <w:jc w:val="both"/>
      </w:pPr>
      <w:r>
        <w:t xml:space="preserve">As the off-patent sector accounting for 70% of medicines dispensed in Europe covering 80% of therapeutic areas, we fully share the goals of ensuring that all patients across the EU have timely and equitable access to safe, </w:t>
      </w:r>
      <w:proofErr w:type="gramStart"/>
      <w:r>
        <w:t>effective</w:t>
      </w:r>
      <w:proofErr w:type="gramEnd"/>
      <w:r>
        <w:t xml:space="preserve"> and affordable medicines, through better competition, a more efficient regulatory system and a framework conducive e to manufacturing and continuous innovation.</w:t>
      </w:r>
    </w:p>
    <w:p w14:paraId="5E7BF0DD" w14:textId="023F5D65" w:rsidR="00675AB4" w:rsidRDefault="00675AB4" w:rsidP="00675AB4">
      <w:pPr>
        <w:jc w:val="both"/>
      </w:pPr>
      <w:r>
        <w:t>Focusing on the provisions of the Regulation, we would stress the importance of:</w:t>
      </w:r>
    </w:p>
    <w:p w14:paraId="6077102F" w14:textId="4EE0F828" w:rsidR="00675AB4" w:rsidRDefault="00675AB4" w:rsidP="00675AB4">
      <w:pPr>
        <w:jc w:val="both"/>
      </w:pPr>
      <w:r>
        <w:t xml:space="preserve">1. </w:t>
      </w:r>
      <w:r w:rsidRPr="003F54A1">
        <w:rPr>
          <w:b/>
        </w:rPr>
        <w:t>Ensuring predictability and legal certainty to prevent delays in access to generic and biosimilar medicines, by rejecting the proposed transferable exclusivity vouchers for novel antimicrobials</w:t>
      </w:r>
      <w:r>
        <w:t xml:space="preserve">. </w:t>
      </w:r>
      <w:r w:rsidR="00120774">
        <w:t xml:space="preserve">The vouchers would </w:t>
      </w:r>
      <w:r w:rsidR="00D53181">
        <w:t>lead to the extension of monopolies on the most profitable blockbuster drugs, thus breaking</w:t>
      </w:r>
      <w:r w:rsidR="00283B02">
        <w:t xml:space="preserve"> the founding principle of the relationship between innovation and reward</w:t>
      </w:r>
      <w:r w:rsidR="00D53181">
        <w:t>, unduly delaying patient access to the more affordable off-patent products and dramatically increasing costs for healthcare budgets.</w:t>
      </w:r>
      <w:r>
        <w:t xml:space="preserve"> To address the AMR challenge, </w:t>
      </w:r>
      <w:r w:rsidR="00AF33CD">
        <w:t xml:space="preserve">instead of transferring the costs of funding antimicrobials to patients with already limited and unequitable access to blockbuster drugs, </w:t>
      </w:r>
      <w:r>
        <w:t xml:space="preserve">Europe should establish a Union multi-country pull incentive scheme to improve innovation, </w:t>
      </w:r>
      <w:proofErr w:type="gramStart"/>
      <w:r>
        <w:t>development</w:t>
      </w:r>
      <w:proofErr w:type="gramEnd"/>
      <w:r>
        <w:t xml:space="preserve"> and access to both novel and existing antibiotics</w:t>
      </w:r>
      <w:r w:rsidR="007A6FC5">
        <w:t xml:space="preserve">, such as the revenue guarantee </w:t>
      </w:r>
      <w:r w:rsidR="00BD324B">
        <w:t xml:space="preserve">mentioned </w:t>
      </w:r>
      <w:r w:rsidR="00D91251">
        <w:t>both in the December 2021 and June 2023 EPSCO Council Conclusions.</w:t>
      </w:r>
    </w:p>
    <w:p w14:paraId="20171BAB" w14:textId="4D1FA2C4" w:rsidR="007A2359" w:rsidRDefault="00675AB4" w:rsidP="00675AB4">
      <w:pPr>
        <w:jc w:val="both"/>
      </w:pPr>
      <w:r>
        <w:t xml:space="preserve">2.  </w:t>
      </w:r>
      <w:r w:rsidRPr="00D179D1">
        <w:rPr>
          <w:b/>
        </w:rPr>
        <w:t>Establishing a clear European strategy to prevent and mitigate shortages</w:t>
      </w:r>
      <w:r>
        <w:t xml:space="preserve">. </w:t>
      </w:r>
      <w:r w:rsidR="0023351D">
        <w:t>We</w:t>
      </w:r>
      <w:r>
        <w:t xml:space="preserve"> support the proposed harmonised definitions of shortages and critical </w:t>
      </w:r>
      <w:r w:rsidR="0023351D">
        <w:t>medicinal</w:t>
      </w:r>
      <w:r w:rsidR="00026EB8">
        <w:t xml:space="preserve"> </w:t>
      </w:r>
      <w:proofErr w:type="gramStart"/>
      <w:r w:rsidR="00026EB8">
        <w:t>products</w:t>
      </w:r>
      <w:r w:rsidR="007A2359">
        <w:t>,</w:t>
      </w:r>
      <w:r w:rsidR="00A379D5">
        <w:t xml:space="preserve"> </w:t>
      </w:r>
      <w:r w:rsidR="00026EB8">
        <w:t>but</w:t>
      </w:r>
      <w:proofErr w:type="gramEnd"/>
      <w:r w:rsidR="00026EB8">
        <w:t xml:space="preserve"> </w:t>
      </w:r>
      <w:r w:rsidR="007A2359">
        <w:t xml:space="preserve">are concerned about </w:t>
      </w:r>
      <w:r w:rsidR="00026EB8">
        <w:t>extending</w:t>
      </w:r>
      <w:r w:rsidR="007A2359">
        <w:t xml:space="preserve"> shortage notifications from 2 to 6 months </w:t>
      </w:r>
      <w:r w:rsidR="00026EB8">
        <w:t xml:space="preserve">which </w:t>
      </w:r>
      <w:r w:rsidR="007A2359">
        <w:t xml:space="preserve">would </w:t>
      </w:r>
      <w:r w:rsidR="00026EB8">
        <w:t xml:space="preserve">lead to </w:t>
      </w:r>
      <w:r w:rsidR="007A2359">
        <w:t>shortage “false alarms” as happened in Italy and Canada.</w:t>
      </w:r>
      <w:r w:rsidR="008C5A04">
        <w:t xml:space="preserve"> </w:t>
      </w:r>
      <w:r w:rsidR="00B26FFF">
        <w:t>Instead, a</w:t>
      </w:r>
      <w:r w:rsidR="00F501A9">
        <w:t xml:space="preserve"> single</w:t>
      </w:r>
      <w:r w:rsidR="00B26FFF">
        <w:t xml:space="preserve"> digitalised and automated reporting system would allow marketing authorisation holders to report shortages as soon as they are aware, without placing an unnecessary burden on either them or the competent authorities.</w:t>
      </w:r>
      <w:r w:rsidR="007A2359">
        <w:t xml:space="preserve"> We support the introduction of shortage prevention plans </w:t>
      </w:r>
      <w:r w:rsidR="00F501A9">
        <w:t xml:space="preserve">with </w:t>
      </w:r>
      <w:r w:rsidR="007A2359">
        <w:t>a risk-based approach, based on a single coherent list of critical medicines or essential medicines with no alternatives</w:t>
      </w:r>
      <w:r w:rsidR="00F501A9">
        <w:t xml:space="preserve"> to </w:t>
      </w:r>
      <w:r w:rsidR="0053235C">
        <w:t xml:space="preserve">avoid the generation of </w:t>
      </w:r>
      <w:r w:rsidR="00E27E99">
        <w:t>countless resource-</w:t>
      </w:r>
      <w:r w:rsidR="009855AF">
        <w:t>intensive</w:t>
      </w:r>
      <w:r w:rsidR="00E27E99">
        <w:t xml:space="preserve"> and unnecessary reports</w:t>
      </w:r>
      <w:r w:rsidR="0046201F">
        <w:t xml:space="preserve">, instead </w:t>
      </w:r>
      <w:r w:rsidR="00F501A9">
        <w:t>allow</w:t>
      </w:r>
      <w:r w:rsidR="0046201F">
        <w:t>ing</w:t>
      </w:r>
      <w:r w:rsidR="00605F9F">
        <w:t xml:space="preserve"> manufacturers </w:t>
      </w:r>
      <w:r w:rsidR="0046201F">
        <w:t>to</w:t>
      </w:r>
      <w:r w:rsidR="00F501A9">
        <w:t xml:space="preserve"> </w:t>
      </w:r>
      <w:r w:rsidR="00605F9F">
        <w:t xml:space="preserve">focus their resources on preventing and mitigating </w:t>
      </w:r>
      <w:r w:rsidR="00C02936">
        <w:t xml:space="preserve">actual </w:t>
      </w:r>
      <w:r w:rsidR="00605F9F">
        <w:t>shortages</w:t>
      </w:r>
      <w:r w:rsidR="0046201F">
        <w:t>.</w:t>
      </w:r>
      <w:r w:rsidR="00B60E63">
        <w:t xml:space="preserve"> </w:t>
      </w:r>
    </w:p>
    <w:p w14:paraId="75713AC1" w14:textId="1F42D4A6" w:rsidR="00675AB4" w:rsidRDefault="007A2359" w:rsidP="00675AB4">
      <w:pPr>
        <w:jc w:val="both"/>
      </w:pPr>
      <w:r>
        <w:t xml:space="preserve">3.  </w:t>
      </w:r>
      <w:r w:rsidR="00C72D83" w:rsidRPr="10034CB5">
        <w:rPr>
          <w:b/>
          <w:bCs/>
        </w:rPr>
        <w:t>Ensuring an efficient regulatory system that delivers on medicine</w:t>
      </w:r>
      <w:r w:rsidR="00AD571B" w:rsidRPr="10034CB5">
        <w:rPr>
          <w:b/>
          <w:bCs/>
        </w:rPr>
        <w:t xml:space="preserve"> availability</w:t>
      </w:r>
      <w:r w:rsidR="00920ACC">
        <w:t xml:space="preserve">. </w:t>
      </w:r>
      <w:r w:rsidR="00E47E55">
        <w:t>While the proposal already foresees several key provisions to optimise regulatory operations, including a shortened marketing authorisation (MA) procedure from 210 to 180 days, it would be critical to</w:t>
      </w:r>
      <w:r w:rsidR="001D1EB2">
        <w:t xml:space="preserve"> </w:t>
      </w:r>
      <w:r w:rsidR="00E455B8">
        <w:t xml:space="preserve">ensure the possibility for generic, hybrid and fixed dose combination products </w:t>
      </w:r>
      <w:r w:rsidR="000D67E3">
        <w:t>marketing authorisations applicants to choose between the centralised and the decentralised procedure.</w:t>
      </w:r>
      <w:r w:rsidR="0056636D">
        <w:t xml:space="preserve"> </w:t>
      </w:r>
      <w:r w:rsidR="00FD3E76">
        <w:t>Moreover, removi</w:t>
      </w:r>
      <w:r w:rsidR="00040529">
        <w:t>n</w:t>
      </w:r>
      <w:r w:rsidR="008D1EE5">
        <w:t xml:space="preserve">g the requirement for generic and biosimilar manufacturers to duplicate packaging and brand names for use patents </w:t>
      </w:r>
      <w:r w:rsidR="00250DEF">
        <w:t xml:space="preserve">by </w:t>
      </w:r>
      <w:r w:rsidR="00CB04A8">
        <w:t xml:space="preserve">better adapting labelling to the use patent landscape </w:t>
      </w:r>
      <w:r w:rsidR="00C40A30">
        <w:t xml:space="preserve">and </w:t>
      </w:r>
      <w:r w:rsidR="00AE1B98">
        <w:t xml:space="preserve">avoiding confusion among patients </w:t>
      </w:r>
      <w:r w:rsidR="00452504">
        <w:t xml:space="preserve">due to </w:t>
      </w:r>
      <w:r w:rsidR="5352E0F0">
        <w:t>dup</w:t>
      </w:r>
      <w:r w:rsidR="009A3A2F">
        <w:t>licate MA applications</w:t>
      </w:r>
      <w:r w:rsidR="007465DF">
        <w:t>.</w:t>
      </w:r>
      <w:r w:rsidR="008253BA">
        <w:t xml:space="preserve"> </w:t>
      </w:r>
    </w:p>
    <w:p w14:paraId="69F545AF" w14:textId="2616EFEB" w:rsidR="00DC7B11" w:rsidRDefault="00EC2007" w:rsidP="00DC7B11">
      <w:pPr>
        <w:jc w:val="both"/>
      </w:pPr>
      <w:r>
        <w:t>We are</w:t>
      </w:r>
      <w:r w:rsidR="00DC7B11">
        <w:t xml:space="preserve"> ready to continue the dialogue with the co-legislators, the Commission, </w:t>
      </w:r>
      <w:proofErr w:type="gramStart"/>
      <w:r w:rsidR="00DC7B11">
        <w:t>patients</w:t>
      </w:r>
      <w:proofErr w:type="gramEnd"/>
      <w:r w:rsidR="00DC7B11">
        <w:t xml:space="preserve"> and other stakeholders to improve medicines’ availability, accessibility and affordability and achieve an open strategic autonomy in healthcare.</w:t>
      </w:r>
    </w:p>
    <w:p w14:paraId="7AAB7F0E" w14:textId="77777777" w:rsidR="00675AB4" w:rsidRDefault="00675AB4"/>
    <w:sectPr w:rsidR="00675AB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BBE3D" w14:textId="77777777" w:rsidR="00C36DCF" w:rsidRDefault="00C36DCF" w:rsidP="005436E0">
      <w:pPr>
        <w:spacing w:after="0" w:line="240" w:lineRule="auto"/>
      </w:pPr>
      <w:r>
        <w:separator/>
      </w:r>
    </w:p>
  </w:endnote>
  <w:endnote w:type="continuationSeparator" w:id="0">
    <w:p w14:paraId="09DA3934" w14:textId="77777777" w:rsidR="00C36DCF" w:rsidRDefault="00C36DCF" w:rsidP="005436E0">
      <w:pPr>
        <w:spacing w:after="0" w:line="240" w:lineRule="auto"/>
      </w:pPr>
      <w:r>
        <w:continuationSeparator/>
      </w:r>
    </w:p>
  </w:endnote>
  <w:endnote w:type="continuationNotice" w:id="1">
    <w:p w14:paraId="5CE000FB" w14:textId="77777777" w:rsidR="00C36DCF" w:rsidRDefault="00C36D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E36E5" w14:textId="77777777" w:rsidR="00C36DCF" w:rsidRDefault="00C36DCF" w:rsidP="005436E0">
      <w:pPr>
        <w:spacing w:after="0" w:line="240" w:lineRule="auto"/>
      </w:pPr>
      <w:r>
        <w:separator/>
      </w:r>
    </w:p>
  </w:footnote>
  <w:footnote w:type="continuationSeparator" w:id="0">
    <w:p w14:paraId="7EBC4ADE" w14:textId="77777777" w:rsidR="00C36DCF" w:rsidRDefault="00C36DCF" w:rsidP="005436E0">
      <w:pPr>
        <w:spacing w:after="0" w:line="240" w:lineRule="auto"/>
      </w:pPr>
      <w:r>
        <w:continuationSeparator/>
      </w:r>
    </w:p>
  </w:footnote>
  <w:footnote w:type="continuationNotice" w:id="1">
    <w:p w14:paraId="13E846CF" w14:textId="77777777" w:rsidR="00C36DCF" w:rsidRDefault="00C36D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9F426" w14:textId="77777777" w:rsidR="00C943A4" w:rsidRDefault="00C943A4" w:rsidP="00C943A4">
    <w:pPr>
      <w:pStyle w:val="Header"/>
      <w:rPr>
        <w:sz w:val="44"/>
      </w:rPr>
    </w:pPr>
    <w:r w:rsidRPr="002305F5">
      <w:rPr>
        <w:noProof/>
        <w:sz w:val="44"/>
        <w:lang w:eastAsia="en-GB"/>
      </w:rPr>
      <w:drawing>
        <wp:anchor distT="0" distB="0" distL="114300" distR="114300" simplePos="0" relativeHeight="251658240" behindDoc="1" locked="0" layoutInCell="1" allowOverlap="1" wp14:anchorId="01F76C98" wp14:editId="0C0DA41E">
          <wp:simplePos x="0" y="0"/>
          <wp:positionH relativeFrom="page">
            <wp:posOffset>0</wp:posOffset>
          </wp:positionH>
          <wp:positionV relativeFrom="paragraph">
            <wp:posOffset>-561975</wp:posOffset>
          </wp:positionV>
          <wp:extent cx="7547325" cy="1111563"/>
          <wp:effectExtent l="0" t="0" r="0" b="6350"/>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EGA_Banner_RGB.png"/>
                  <pic:cNvPicPr/>
                </pic:nvPicPr>
                <pic:blipFill>
                  <a:blip r:embed="rId1">
                    <a:extLst>
                      <a:ext uri="{28A0092B-C50C-407E-A947-70E740481C1C}">
                        <a14:useLocalDpi xmlns:a14="http://schemas.microsoft.com/office/drawing/2010/main" val="0"/>
                      </a:ext>
                    </a:extLst>
                  </a:blip>
                  <a:stretch>
                    <a:fillRect/>
                  </a:stretch>
                </pic:blipFill>
                <pic:spPr>
                  <a:xfrm>
                    <a:off x="0" y="0"/>
                    <a:ext cx="7578601" cy="1116169"/>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1" behindDoc="0" locked="0" layoutInCell="1" allowOverlap="1" wp14:anchorId="025DBC6A" wp14:editId="6111EABD">
          <wp:simplePos x="0" y="0"/>
          <wp:positionH relativeFrom="margin">
            <wp:posOffset>2273935</wp:posOffset>
          </wp:positionH>
          <wp:positionV relativeFrom="paragraph">
            <wp:posOffset>-202397</wp:posOffset>
          </wp:positionV>
          <wp:extent cx="1784350" cy="646729"/>
          <wp:effectExtent l="0" t="0" r="0" b="1270"/>
          <wp:wrapNone/>
          <wp:docPr id="22" name="Picture 22" descr="A close-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2" name="Picture 22" descr="A close-up of a sig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84350" cy="646729"/>
                  </a:xfrm>
                  <a:prstGeom prst="rect">
                    <a:avLst/>
                  </a:prstGeom>
                </pic:spPr>
              </pic:pic>
            </a:graphicData>
          </a:graphic>
          <wp14:sizeRelH relativeFrom="page">
            <wp14:pctWidth>0</wp14:pctWidth>
          </wp14:sizeRelH>
          <wp14:sizeRelV relativeFrom="page">
            <wp14:pctHeight>0</wp14:pctHeight>
          </wp14:sizeRelV>
        </wp:anchor>
      </w:drawing>
    </w:r>
  </w:p>
  <w:p w14:paraId="36D83989" w14:textId="77777777" w:rsidR="00C943A4" w:rsidRDefault="00C943A4" w:rsidP="00C943A4">
    <w:pPr>
      <w:pStyle w:val="NoSpacing"/>
      <w:rPr>
        <w:noProof/>
        <w:lang w:eastAsia="en-GB"/>
      </w:rPr>
    </w:pPr>
  </w:p>
  <w:p w14:paraId="20240D8B" w14:textId="77777777" w:rsidR="00C943A4" w:rsidRDefault="00C943A4" w:rsidP="00C943A4">
    <w:pPr>
      <w:pStyle w:val="NoSpacing"/>
      <w:jc w:val="center"/>
      <w:rPr>
        <w:noProof/>
        <w:lang w:eastAsia="en-GB"/>
      </w:rPr>
    </w:pPr>
  </w:p>
  <w:p w14:paraId="22285FFF" w14:textId="06D158B4" w:rsidR="00C943A4" w:rsidRPr="00F52369" w:rsidRDefault="00C943A4" w:rsidP="00C943A4">
    <w:pPr>
      <w:pStyle w:val="Header"/>
      <w:jc w:val="center"/>
      <w:rPr>
        <w:sz w:val="48"/>
        <w:szCs w:val="48"/>
      </w:rPr>
    </w:pPr>
    <w:r w:rsidRPr="00F52369">
      <w:rPr>
        <w:rFonts w:asciiTheme="majorHAnsi" w:eastAsiaTheme="majorEastAsia" w:hAnsiTheme="majorHAnsi" w:cstheme="majorBidi"/>
        <w:noProof/>
        <w:color w:val="2F5496" w:themeColor="accent1" w:themeShade="BF"/>
        <w:spacing w:val="-7"/>
        <w:kern w:val="0"/>
        <w:sz w:val="48"/>
        <w:szCs w:val="48"/>
        <w:lang w:eastAsia="en-GB"/>
        <w14:ligatures w14:val="none"/>
      </w:rPr>
      <w:t>Medicines for Europe re</w:t>
    </w:r>
    <w:r>
      <w:rPr>
        <w:rFonts w:asciiTheme="majorHAnsi" w:eastAsiaTheme="majorEastAsia" w:hAnsiTheme="majorHAnsi" w:cstheme="majorBidi"/>
        <w:noProof/>
        <w:color w:val="2F5496" w:themeColor="accent1" w:themeShade="BF"/>
        <w:spacing w:val="-7"/>
        <w:kern w:val="0"/>
        <w:sz w:val="48"/>
        <w:szCs w:val="48"/>
        <w:lang w:eastAsia="en-GB"/>
        <w14:ligatures w14:val="none"/>
      </w:rPr>
      <w:t>sponse</w:t>
    </w:r>
    <w:r w:rsidRPr="00F52369">
      <w:rPr>
        <w:rFonts w:asciiTheme="majorHAnsi" w:eastAsiaTheme="majorEastAsia" w:hAnsiTheme="majorHAnsi" w:cstheme="majorBidi"/>
        <w:noProof/>
        <w:color w:val="2F5496" w:themeColor="accent1" w:themeShade="BF"/>
        <w:spacing w:val="-7"/>
        <w:kern w:val="0"/>
        <w:sz w:val="48"/>
        <w:szCs w:val="48"/>
        <w:lang w:eastAsia="en-GB"/>
        <w14:ligatures w14:val="none"/>
      </w:rPr>
      <w:t xml:space="preserve"> to the European Commission call for feedback on the revision of Pharmaceutical </w:t>
    </w:r>
    <w:r>
      <w:rPr>
        <w:rFonts w:asciiTheme="majorHAnsi" w:eastAsiaTheme="majorEastAsia" w:hAnsiTheme="majorHAnsi" w:cstheme="majorBidi"/>
        <w:noProof/>
        <w:color w:val="2F5496" w:themeColor="accent1" w:themeShade="BF"/>
        <w:spacing w:val="-7"/>
        <w:kern w:val="0"/>
        <w:sz w:val="48"/>
        <w:szCs w:val="48"/>
        <w:lang w:eastAsia="en-GB"/>
        <w14:ligatures w14:val="none"/>
      </w:rPr>
      <w:t>Regulation</w:t>
    </w:r>
  </w:p>
  <w:p w14:paraId="519A6A8E" w14:textId="0130E565" w:rsidR="005436E0" w:rsidRDefault="005436E0" w:rsidP="005436E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AB4"/>
    <w:rsid w:val="00026EB8"/>
    <w:rsid w:val="00040529"/>
    <w:rsid w:val="00057DFF"/>
    <w:rsid w:val="00072BDD"/>
    <w:rsid w:val="00096532"/>
    <w:rsid w:val="000A6514"/>
    <w:rsid w:val="000D67E3"/>
    <w:rsid w:val="00106C00"/>
    <w:rsid w:val="00120774"/>
    <w:rsid w:val="0014223C"/>
    <w:rsid w:val="00167E1A"/>
    <w:rsid w:val="00184FE9"/>
    <w:rsid w:val="00191FFF"/>
    <w:rsid w:val="001A5C9D"/>
    <w:rsid w:val="001D1EB2"/>
    <w:rsid w:val="001D557E"/>
    <w:rsid w:val="001F726B"/>
    <w:rsid w:val="002114E3"/>
    <w:rsid w:val="00223D3B"/>
    <w:rsid w:val="00226768"/>
    <w:rsid w:val="0023351D"/>
    <w:rsid w:val="00244A9D"/>
    <w:rsid w:val="00250DEF"/>
    <w:rsid w:val="00276B69"/>
    <w:rsid w:val="00283B02"/>
    <w:rsid w:val="002914B1"/>
    <w:rsid w:val="002A5544"/>
    <w:rsid w:val="002B70F5"/>
    <w:rsid w:val="002D1201"/>
    <w:rsid w:val="002F325E"/>
    <w:rsid w:val="003028FB"/>
    <w:rsid w:val="003305AC"/>
    <w:rsid w:val="003376D7"/>
    <w:rsid w:val="00353E87"/>
    <w:rsid w:val="00355A41"/>
    <w:rsid w:val="00356348"/>
    <w:rsid w:val="0036651E"/>
    <w:rsid w:val="00380251"/>
    <w:rsid w:val="003F54A1"/>
    <w:rsid w:val="0042482B"/>
    <w:rsid w:val="00441FD1"/>
    <w:rsid w:val="00452504"/>
    <w:rsid w:val="004537FB"/>
    <w:rsid w:val="00457C3D"/>
    <w:rsid w:val="0046201F"/>
    <w:rsid w:val="00487BF1"/>
    <w:rsid w:val="004A18E6"/>
    <w:rsid w:val="004D5F6E"/>
    <w:rsid w:val="004F06EE"/>
    <w:rsid w:val="00501C69"/>
    <w:rsid w:val="0053235C"/>
    <w:rsid w:val="005436E0"/>
    <w:rsid w:val="00544140"/>
    <w:rsid w:val="0055730B"/>
    <w:rsid w:val="0056636D"/>
    <w:rsid w:val="005E076C"/>
    <w:rsid w:val="005E7B18"/>
    <w:rsid w:val="005F5D36"/>
    <w:rsid w:val="00605F9F"/>
    <w:rsid w:val="00662A26"/>
    <w:rsid w:val="00663A63"/>
    <w:rsid w:val="00675AB4"/>
    <w:rsid w:val="00694959"/>
    <w:rsid w:val="006B12AC"/>
    <w:rsid w:val="007465DF"/>
    <w:rsid w:val="007646EA"/>
    <w:rsid w:val="00767FBE"/>
    <w:rsid w:val="0078425A"/>
    <w:rsid w:val="007A2359"/>
    <w:rsid w:val="007A6FC5"/>
    <w:rsid w:val="007C0811"/>
    <w:rsid w:val="007D5AC6"/>
    <w:rsid w:val="007F0AA1"/>
    <w:rsid w:val="00815822"/>
    <w:rsid w:val="008253BA"/>
    <w:rsid w:val="00855D2D"/>
    <w:rsid w:val="00866375"/>
    <w:rsid w:val="008B5C64"/>
    <w:rsid w:val="008C20DC"/>
    <w:rsid w:val="008C3505"/>
    <w:rsid w:val="008C5A04"/>
    <w:rsid w:val="008D1EE5"/>
    <w:rsid w:val="008D6825"/>
    <w:rsid w:val="008F7FF3"/>
    <w:rsid w:val="00920371"/>
    <w:rsid w:val="00920ACC"/>
    <w:rsid w:val="00930CFD"/>
    <w:rsid w:val="00977C3A"/>
    <w:rsid w:val="00983FE1"/>
    <w:rsid w:val="009855AF"/>
    <w:rsid w:val="0099386E"/>
    <w:rsid w:val="00997B31"/>
    <w:rsid w:val="009A02FA"/>
    <w:rsid w:val="009A3A2F"/>
    <w:rsid w:val="009C5CF0"/>
    <w:rsid w:val="009E06BA"/>
    <w:rsid w:val="00A07FD0"/>
    <w:rsid w:val="00A21A41"/>
    <w:rsid w:val="00A379D5"/>
    <w:rsid w:val="00A66536"/>
    <w:rsid w:val="00AB041D"/>
    <w:rsid w:val="00AD3F13"/>
    <w:rsid w:val="00AD571B"/>
    <w:rsid w:val="00AE1B98"/>
    <w:rsid w:val="00AF33CD"/>
    <w:rsid w:val="00B03BBD"/>
    <w:rsid w:val="00B137D6"/>
    <w:rsid w:val="00B26FFF"/>
    <w:rsid w:val="00B552AE"/>
    <w:rsid w:val="00B60E63"/>
    <w:rsid w:val="00B666C5"/>
    <w:rsid w:val="00B8078B"/>
    <w:rsid w:val="00B8618C"/>
    <w:rsid w:val="00B9210A"/>
    <w:rsid w:val="00BA6A0D"/>
    <w:rsid w:val="00BC6578"/>
    <w:rsid w:val="00BC7784"/>
    <w:rsid w:val="00BD324B"/>
    <w:rsid w:val="00BE14F7"/>
    <w:rsid w:val="00C00F6B"/>
    <w:rsid w:val="00C00FE0"/>
    <w:rsid w:val="00C02936"/>
    <w:rsid w:val="00C07CCA"/>
    <w:rsid w:val="00C1425A"/>
    <w:rsid w:val="00C36DCF"/>
    <w:rsid w:val="00C40A30"/>
    <w:rsid w:val="00C70A02"/>
    <w:rsid w:val="00C72D83"/>
    <w:rsid w:val="00C943A4"/>
    <w:rsid w:val="00CB04A8"/>
    <w:rsid w:val="00CF2A07"/>
    <w:rsid w:val="00D037F2"/>
    <w:rsid w:val="00D0530F"/>
    <w:rsid w:val="00D12E53"/>
    <w:rsid w:val="00D1595B"/>
    <w:rsid w:val="00D16A5E"/>
    <w:rsid w:val="00D179D1"/>
    <w:rsid w:val="00D44015"/>
    <w:rsid w:val="00D53181"/>
    <w:rsid w:val="00D73E84"/>
    <w:rsid w:val="00D91251"/>
    <w:rsid w:val="00D93963"/>
    <w:rsid w:val="00DA568E"/>
    <w:rsid w:val="00DC7B11"/>
    <w:rsid w:val="00DE5BEA"/>
    <w:rsid w:val="00DE6165"/>
    <w:rsid w:val="00E27E99"/>
    <w:rsid w:val="00E455B8"/>
    <w:rsid w:val="00E47C48"/>
    <w:rsid w:val="00E47E55"/>
    <w:rsid w:val="00E827E3"/>
    <w:rsid w:val="00EC2007"/>
    <w:rsid w:val="00EC5596"/>
    <w:rsid w:val="00F422EF"/>
    <w:rsid w:val="00F501A9"/>
    <w:rsid w:val="00FA5324"/>
    <w:rsid w:val="00FA5526"/>
    <w:rsid w:val="00FD018B"/>
    <w:rsid w:val="00FD3E76"/>
    <w:rsid w:val="10034CB5"/>
    <w:rsid w:val="4070DB6F"/>
    <w:rsid w:val="5352E0F0"/>
    <w:rsid w:val="55CC0026"/>
    <w:rsid w:val="60145EEB"/>
    <w:rsid w:val="7D1A5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D5DE"/>
  <w15:docId w15:val="{A39285C1-C952-450E-909A-B1834F00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A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6E0"/>
  </w:style>
  <w:style w:type="paragraph" w:styleId="Footer">
    <w:name w:val="footer"/>
    <w:basedOn w:val="Normal"/>
    <w:link w:val="FooterChar"/>
    <w:uiPriority w:val="99"/>
    <w:unhideWhenUsed/>
    <w:rsid w:val="00543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6E0"/>
  </w:style>
  <w:style w:type="character" w:styleId="CommentReference">
    <w:name w:val="annotation reference"/>
    <w:basedOn w:val="DefaultParagraphFont"/>
    <w:uiPriority w:val="99"/>
    <w:semiHidden/>
    <w:unhideWhenUsed/>
    <w:rsid w:val="001D1EB2"/>
    <w:rPr>
      <w:sz w:val="16"/>
      <w:szCs w:val="16"/>
    </w:rPr>
  </w:style>
  <w:style w:type="paragraph" w:styleId="CommentText">
    <w:name w:val="annotation text"/>
    <w:basedOn w:val="Normal"/>
    <w:link w:val="CommentTextChar"/>
    <w:uiPriority w:val="99"/>
    <w:unhideWhenUsed/>
    <w:rsid w:val="001D1EB2"/>
    <w:pPr>
      <w:spacing w:line="240" w:lineRule="auto"/>
    </w:pPr>
    <w:rPr>
      <w:sz w:val="20"/>
      <w:szCs w:val="20"/>
    </w:rPr>
  </w:style>
  <w:style w:type="character" w:customStyle="1" w:styleId="CommentTextChar">
    <w:name w:val="Comment Text Char"/>
    <w:basedOn w:val="DefaultParagraphFont"/>
    <w:link w:val="CommentText"/>
    <w:uiPriority w:val="99"/>
    <w:rsid w:val="001D1EB2"/>
    <w:rPr>
      <w:sz w:val="20"/>
      <w:szCs w:val="20"/>
    </w:rPr>
  </w:style>
  <w:style w:type="paragraph" w:styleId="Revision">
    <w:name w:val="Revision"/>
    <w:hidden/>
    <w:uiPriority w:val="99"/>
    <w:semiHidden/>
    <w:rsid w:val="002B70F5"/>
    <w:pPr>
      <w:spacing w:after="0" w:line="240" w:lineRule="auto"/>
    </w:pPr>
  </w:style>
  <w:style w:type="paragraph" w:styleId="CommentSubject">
    <w:name w:val="annotation subject"/>
    <w:basedOn w:val="CommentText"/>
    <w:next w:val="CommentText"/>
    <w:link w:val="CommentSubjectChar"/>
    <w:uiPriority w:val="99"/>
    <w:semiHidden/>
    <w:unhideWhenUsed/>
    <w:rsid w:val="002B70F5"/>
    <w:rPr>
      <w:b/>
      <w:bCs/>
    </w:rPr>
  </w:style>
  <w:style w:type="character" w:customStyle="1" w:styleId="CommentSubjectChar">
    <w:name w:val="Comment Subject Char"/>
    <w:basedOn w:val="CommentTextChar"/>
    <w:link w:val="CommentSubject"/>
    <w:uiPriority w:val="99"/>
    <w:semiHidden/>
    <w:rsid w:val="002B70F5"/>
    <w:rPr>
      <w:b/>
      <w:bCs/>
      <w:sz w:val="20"/>
      <w:szCs w:val="20"/>
    </w:rPr>
  </w:style>
  <w:style w:type="paragraph" w:styleId="NoSpacing">
    <w:name w:val="No Spacing"/>
    <w:aliases w:val="Main Content,MFE Content"/>
    <w:uiPriority w:val="1"/>
    <w:qFormat/>
    <w:rsid w:val="00C943A4"/>
    <w:pPr>
      <w:spacing w:after="0" w:line="240" w:lineRule="auto"/>
      <w:jc w:val="both"/>
    </w:pPr>
    <w:rPr>
      <w:rFonts w:eastAsiaTheme="minorEastAsia"/>
      <w:color w:val="000000" w:themeColor="text1"/>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94C07B6123B04EA249496C6F3A8695" ma:contentTypeVersion="16" ma:contentTypeDescription="Create a new document." ma:contentTypeScope="" ma:versionID="ef650baa23d78d63123036546f137968">
  <xsd:schema xmlns:xsd="http://www.w3.org/2001/XMLSchema" xmlns:xs="http://www.w3.org/2001/XMLSchema" xmlns:p="http://schemas.microsoft.com/office/2006/metadata/properties" xmlns:ns2="18620c45-b484-4469-aef3-ac7b58ed2aab" xmlns:ns3="d11dc2e1-44a3-41e2-839d-0cf5d93736b5" targetNamespace="http://schemas.microsoft.com/office/2006/metadata/properties" ma:root="true" ma:fieldsID="fc5cd8cb879266be646f21de550c77ac" ns2:_="" ns3:_="">
    <xsd:import namespace="18620c45-b484-4469-aef3-ac7b58ed2aab"/>
    <xsd:import namespace="d11dc2e1-44a3-41e2-839d-0cf5d93736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20c45-b484-4469-aef3-ac7b58ed2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4c91f35-80b3-428a-a1c9-635ea25da8a5"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1dc2e1-44a3-41e2-839d-0cf5d93736b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cda4eb6-5b6a-43be-ac0f-2b1ea0565f20}" ma:internalName="TaxCatchAll" ma:showField="CatchAllData" ma:web="d11dc2e1-44a3-41e2-839d-0cf5d93736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620c45-b484-4469-aef3-ac7b58ed2aab">
      <Terms xmlns="http://schemas.microsoft.com/office/infopath/2007/PartnerControls"/>
    </lcf76f155ced4ddcb4097134ff3c332f>
    <TaxCatchAll xmlns="d11dc2e1-44a3-41e2-839d-0cf5d93736b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7C616-3EA5-4D6D-AD64-5AB7E576E432}">
  <ds:schemaRefs>
    <ds:schemaRef ds:uri="http://schemas.microsoft.com/sharepoint/v3/contenttype/forms"/>
  </ds:schemaRefs>
</ds:datastoreItem>
</file>

<file path=customXml/itemProps2.xml><?xml version="1.0" encoding="utf-8"?>
<ds:datastoreItem xmlns:ds="http://schemas.openxmlformats.org/officeDocument/2006/customXml" ds:itemID="{3DB21467-68F6-44F9-86CE-008DB4840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20c45-b484-4469-aef3-ac7b58ed2aab"/>
    <ds:schemaRef ds:uri="d11dc2e1-44a3-41e2-839d-0cf5d9373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E8D691-3168-49A0-A5DA-C5DDD1E4CA69}">
  <ds:schemaRefs>
    <ds:schemaRef ds:uri="http://schemas.openxmlformats.org/package/2006/metadata/core-properties"/>
    <ds:schemaRef ds:uri="http://schemas.microsoft.com/office/2006/documentManagement/types"/>
    <ds:schemaRef ds:uri="http://schemas.microsoft.com/office/2006/metadata/properties"/>
    <ds:schemaRef ds:uri="18620c45-b484-4469-aef3-ac7b58ed2aab"/>
    <ds:schemaRef ds:uri="http://purl.org/dc/terms/"/>
    <ds:schemaRef ds:uri="http://purl.org/dc/elements/1.1/"/>
    <ds:schemaRef ds:uri="http://schemas.microsoft.com/office/infopath/2007/PartnerControls"/>
    <ds:schemaRef ds:uri="http://www.w3.org/XML/1998/namespace"/>
    <ds:schemaRef ds:uri="d11dc2e1-44a3-41e2-839d-0cf5d93736b5"/>
    <ds:schemaRef ds:uri="http://purl.org/dc/dcmitype/"/>
  </ds:schemaRefs>
</ds:datastoreItem>
</file>

<file path=customXml/itemProps4.xml><?xml version="1.0" encoding="utf-8"?>
<ds:datastoreItem xmlns:ds="http://schemas.openxmlformats.org/officeDocument/2006/customXml" ds:itemID="{72C239DB-3EB3-4B80-B703-F5CBC636A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528</Words>
  <Characters>3011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Luca Prosdocimo</cp:lastModifiedBy>
  <cp:revision>7</cp:revision>
  <cp:lastPrinted>2023-09-29T17:41:00Z</cp:lastPrinted>
  <dcterms:created xsi:type="dcterms:W3CDTF">2023-09-26T18:09:00Z</dcterms:created>
  <dcterms:modified xsi:type="dcterms:W3CDTF">2023-09-29T17:50:00Z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0x0101009F94C07B6123B04EA249496C6F3A8695</vt:lpwstr>
  </property>
  <property fmtid="{D5CDD505-2E9C-101B-9397-08002B2CF9AE}" pid="3" name="MediaServiceImageTags">
    <vt:lpwstr/>
  </property>
</Properties>
</file>