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A1B6" w14:textId="77777777" w:rsidR="008C0577" w:rsidRDefault="00C41302">
      <w:pPr>
        <w:pStyle w:val="TreA"/>
        <w:spacing w:line="276" w:lineRule="auto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8469CF4" wp14:editId="080010F9">
                <wp:simplePos x="0" y="0"/>
                <wp:positionH relativeFrom="page">
                  <wp:posOffset>5673436</wp:posOffset>
                </wp:positionH>
                <wp:positionV relativeFrom="page">
                  <wp:posOffset>96201</wp:posOffset>
                </wp:positionV>
                <wp:extent cx="1581727" cy="779932"/>
                <wp:effectExtent l="0" t="0" r="0" b="0"/>
                <wp:wrapSquare wrapText="bothSides" distT="152400" distB="152400" distL="152400" distR="152400"/>
                <wp:docPr id="1073741825" name="officeArt object" descr="Warszawa, listopad 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27" cy="7799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556114" w14:textId="77777777" w:rsidR="008C0577" w:rsidRDefault="00C41302">
                            <w:pPr>
                              <w:pStyle w:val="TreA"/>
                            </w:pPr>
                            <w:r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    Warszawa, 25.05.2023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469CF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Warszawa, listopad 2022" style="position:absolute;left:0;text-align:left;margin-left:446.75pt;margin-top:7.55pt;width:124.55pt;height:61.4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" filled="f" stroked="f" strokeweight="1pt">
                <v:stroke miterlimit="4"/>
                <v:textbox inset="4pt,4pt,4pt,4pt">
                  <w:txbxContent>
                    <w:p w14:paraId="52556114" w14:textId="77777777" w:rsidR="008C0577" w:rsidRDefault="00C41302">
                      <w:pPr>
                        <w:pStyle w:val="TreA"/>
                      </w:pPr>
                      <w:r>
                        <w:rPr>
                          <w:rFonts w:ascii="Helvetica Neue" w:hAnsi="Helvetica Neue"/>
                          <w:sz w:val="18"/>
                          <w:szCs w:val="18"/>
                        </w:rPr>
                        <w:t xml:space="preserve">    Warszawa, 25.05.2023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u w:val="single"/>
        </w:rPr>
        <w:drawing>
          <wp:anchor distT="152400" distB="152400" distL="152400" distR="152400" simplePos="0" relativeHeight="251660288" behindDoc="0" locked="0" layoutInCell="1" allowOverlap="1" wp14:anchorId="0597C9E5" wp14:editId="2B291AD4">
            <wp:simplePos x="0" y="0"/>
            <wp:positionH relativeFrom="page">
              <wp:posOffset>444502</wp:posOffset>
            </wp:positionH>
            <wp:positionV relativeFrom="page">
              <wp:posOffset>110490</wp:posOffset>
            </wp:positionV>
            <wp:extent cx="1035824" cy="956145"/>
            <wp:effectExtent l="0" t="0" r="0" b="0"/>
            <wp:wrapSquare wrapText="bothSides" distT="152400" distB="152400" distL="152400" distR="152400"/>
            <wp:docPr id="1073741826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5824" cy="956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D5081C2" w14:textId="77777777" w:rsidR="008C0577" w:rsidRDefault="008C0577">
      <w:pPr>
        <w:pStyle w:val="TreA"/>
        <w:spacing w:line="276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4D61E1BD" w14:textId="77777777" w:rsidR="00573499" w:rsidRDefault="00573499" w:rsidP="00573499">
      <w:pPr>
        <w:pStyle w:val="TreB"/>
        <w:spacing w:line="336" w:lineRule="auto"/>
        <w:rPr>
          <w:sz w:val="26"/>
          <w:szCs w:val="26"/>
          <w:u w:val="single"/>
        </w:rPr>
      </w:pPr>
    </w:p>
    <w:p w14:paraId="1A287923" w14:textId="3B6F5F99" w:rsidR="00573499" w:rsidRDefault="00CE6353" w:rsidP="00573499">
      <w:pPr>
        <w:pStyle w:val="TreB"/>
        <w:spacing w:line="336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Nowelizacja prawa energetycznego </w:t>
      </w:r>
    </w:p>
    <w:p w14:paraId="7E80F14D" w14:textId="2FC97D17" w:rsidR="00573499" w:rsidRDefault="00573499" w:rsidP="00573499">
      <w:pPr>
        <w:pStyle w:val="TreB"/>
        <w:spacing w:line="336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- komentarz ekspert</w:t>
      </w:r>
      <w:r w:rsidR="00CE6353">
        <w:rPr>
          <w:sz w:val="26"/>
          <w:szCs w:val="26"/>
          <w:u w:val="single"/>
          <w:lang w:val="es-ES_tradnl"/>
        </w:rPr>
        <w:t>a</w:t>
      </w:r>
      <w:r w:rsidRPr="0018340B">
        <w:rPr>
          <w:sz w:val="26"/>
          <w:szCs w:val="26"/>
          <w:u w:val="single"/>
        </w:rPr>
        <w:t xml:space="preserve"> Business Centre Club</w:t>
      </w:r>
    </w:p>
    <w:p w14:paraId="750A9894" w14:textId="77777777" w:rsidR="00573499" w:rsidRPr="00573499" w:rsidRDefault="00573499" w:rsidP="00573499">
      <w:pPr>
        <w:pStyle w:val="TreB"/>
        <w:spacing w:line="336" w:lineRule="auto"/>
        <w:jc w:val="center"/>
        <w:rPr>
          <w:sz w:val="26"/>
          <w:szCs w:val="26"/>
          <w:u w:val="single"/>
        </w:rPr>
      </w:pPr>
    </w:p>
    <w:p w14:paraId="0B8303E2" w14:textId="475951E2" w:rsidR="007A3999" w:rsidRPr="007A3999" w:rsidRDefault="000B38D6" w:rsidP="007A3999">
      <w:pPr>
        <w:pStyle w:val="Domylne"/>
        <w:spacing w:before="0" w:after="280" w:line="360" w:lineRule="auto"/>
        <w:jc w:val="both"/>
        <w:rPr>
          <w:rFonts w:ascii="Helvetica" w:hAnsi="Helvetica"/>
          <w:b/>
          <w:bCs/>
          <w:color w:val="1B1B1B"/>
          <w:sz w:val="22"/>
          <w:szCs w:val="22"/>
          <w:shd w:val="clear" w:color="auto" w:fill="FFFFFF"/>
        </w:rPr>
      </w:pPr>
      <w:r>
        <w:rPr>
          <w:rFonts w:ascii="Helvetica" w:hAnsi="Helvetica"/>
          <w:b/>
          <w:bCs/>
          <w:color w:val="1B1B1B"/>
          <w:sz w:val="22"/>
          <w:szCs w:val="22"/>
          <w:shd w:val="clear" w:color="auto" w:fill="FFFFFF"/>
        </w:rPr>
        <w:t xml:space="preserve">24 maja br. odbyło się pierwsze czytanie </w:t>
      </w:r>
      <w:r w:rsidR="001B1ADA" w:rsidRPr="001B1ADA">
        <w:rPr>
          <w:rFonts w:ascii="Helvetica" w:hAnsi="Helvetica"/>
          <w:b/>
          <w:bCs/>
          <w:color w:val="1B1B1B"/>
          <w:sz w:val="22"/>
          <w:szCs w:val="22"/>
          <w:shd w:val="clear" w:color="auto" w:fill="FFFFFF"/>
        </w:rPr>
        <w:t>rządowego projektu nowelizacji ustawy dotyczącej prawa energetycznego</w:t>
      </w:r>
      <w:r w:rsidR="001B1ADA">
        <w:rPr>
          <w:rFonts w:ascii="Helvetica" w:hAnsi="Helvetica"/>
          <w:b/>
          <w:bCs/>
          <w:color w:val="1B1B1B"/>
          <w:sz w:val="22"/>
          <w:szCs w:val="22"/>
          <w:shd w:val="clear" w:color="auto" w:fill="FFFFFF"/>
        </w:rPr>
        <w:t xml:space="preserve">. </w:t>
      </w:r>
      <w:r w:rsidR="007A3999">
        <w:rPr>
          <w:rFonts w:ascii="Helvetica" w:hAnsi="Helvetica"/>
          <w:b/>
          <w:bCs/>
          <w:color w:val="1B1B1B"/>
          <w:sz w:val="22"/>
          <w:szCs w:val="22"/>
          <w:shd w:val="clear" w:color="auto" w:fill="FFFFFF"/>
        </w:rPr>
        <w:t>U</w:t>
      </w:r>
      <w:r w:rsidR="001B1ADA">
        <w:rPr>
          <w:rFonts w:ascii="Helvetica" w:hAnsi="Helvetica"/>
          <w:b/>
          <w:bCs/>
          <w:color w:val="1B1B1B"/>
          <w:sz w:val="22"/>
          <w:szCs w:val="22"/>
          <w:shd w:val="clear" w:color="auto" w:fill="FFFFFF"/>
        </w:rPr>
        <w:t>staw</w:t>
      </w:r>
      <w:r w:rsidR="007A3999">
        <w:rPr>
          <w:rFonts w:ascii="Helvetica" w:hAnsi="Helvetica"/>
          <w:b/>
          <w:bCs/>
          <w:color w:val="1B1B1B"/>
          <w:sz w:val="22"/>
          <w:szCs w:val="22"/>
          <w:shd w:val="clear" w:color="auto" w:fill="FFFFFF"/>
        </w:rPr>
        <w:t>a</w:t>
      </w:r>
      <w:r w:rsidR="001B1ADA">
        <w:rPr>
          <w:rFonts w:ascii="Helvetica" w:hAnsi="Helvetica"/>
          <w:b/>
          <w:bCs/>
          <w:color w:val="1B1B1B"/>
          <w:sz w:val="22"/>
          <w:szCs w:val="22"/>
          <w:shd w:val="clear" w:color="auto" w:fill="FFFFFF"/>
        </w:rPr>
        <w:t xml:space="preserve"> wprowadzi spore zmiany na rynku energii, które dotyczyć będą przede wszystkim </w:t>
      </w:r>
      <w:r w:rsidR="007A3999">
        <w:rPr>
          <w:rFonts w:ascii="Helvetica" w:hAnsi="Helvetica"/>
          <w:b/>
          <w:bCs/>
          <w:color w:val="1B1B1B"/>
          <w:sz w:val="22"/>
          <w:szCs w:val="22"/>
          <w:shd w:val="clear" w:color="auto" w:fill="FFFFFF"/>
        </w:rPr>
        <w:t xml:space="preserve">samych </w:t>
      </w:r>
      <w:r w:rsidR="001B1ADA">
        <w:rPr>
          <w:rFonts w:ascii="Helvetica" w:hAnsi="Helvetica"/>
          <w:b/>
          <w:bCs/>
          <w:color w:val="1B1B1B"/>
          <w:sz w:val="22"/>
          <w:szCs w:val="22"/>
          <w:shd w:val="clear" w:color="auto" w:fill="FFFFFF"/>
        </w:rPr>
        <w:t>odbiorców, ale także wytwórców energii ze źródeł odnawialnych</w:t>
      </w:r>
      <w:r w:rsidR="00CE6353">
        <w:rPr>
          <w:rFonts w:ascii="Helvetica" w:hAnsi="Helvetica"/>
          <w:b/>
          <w:bCs/>
          <w:color w:val="1B1B1B"/>
          <w:sz w:val="22"/>
          <w:szCs w:val="22"/>
          <w:shd w:val="clear" w:color="auto" w:fill="FFFFFF"/>
        </w:rPr>
        <w:t xml:space="preserve">. </w:t>
      </w:r>
      <w:r w:rsidR="007A3999">
        <w:rPr>
          <w:rFonts w:ascii="Helvetica" w:hAnsi="Helvetica"/>
          <w:b/>
          <w:bCs/>
          <w:color w:val="1B1B1B"/>
          <w:sz w:val="22"/>
          <w:szCs w:val="22"/>
          <w:shd w:val="clear" w:color="auto" w:fill="FFFFFF"/>
        </w:rPr>
        <w:t xml:space="preserve">Nowelizacja obejmuje m.in. </w:t>
      </w:r>
      <w:r w:rsidR="00CE6353">
        <w:rPr>
          <w:rFonts w:ascii="Helvetica" w:hAnsi="Helvetica"/>
          <w:b/>
          <w:bCs/>
          <w:color w:val="1B1B1B"/>
          <w:sz w:val="22"/>
          <w:szCs w:val="22"/>
          <w:shd w:val="clear" w:color="auto" w:fill="FFFFFF"/>
        </w:rPr>
        <w:t xml:space="preserve">linie bezpośrednie, </w:t>
      </w:r>
      <w:r w:rsidR="007A3999">
        <w:rPr>
          <w:rFonts w:ascii="Helvetica" w:hAnsi="Helvetica"/>
          <w:b/>
          <w:bCs/>
          <w:color w:val="1B1B1B"/>
          <w:sz w:val="22"/>
          <w:szCs w:val="22"/>
          <w:shd w:val="clear" w:color="auto" w:fill="FFFFFF"/>
        </w:rPr>
        <w:t xml:space="preserve">taryfy dynamiczne, porównywarki ofert, ale także możliwość zmiany sprzedawcy energii w 24 godz. Najważniejsze założenia nowelizacji ustawy prawa energetycznego komentuje Paweł Pisarczyk, ekspert BCC </w:t>
      </w:r>
      <w:r w:rsidR="007A3999" w:rsidRPr="007A3999">
        <w:rPr>
          <w:rFonts w:ascii="Helvetica" w:hAnsi="Helvetica"/>
          <w:b/>
          <w:bCs/>
          <w:color w:val="1B1B1B"/>
          <w:sz w:val="22"/>
          <w:szCs w:val="22"/>
          <w:shd w:val="clear" w:color="auto" w:fill="FFFFFF"/>
        </w:rPr>
        <w:t>ds. transformacji energetycznej i nowoczesnej energetyki</w:t>
      </w:r>
      <w:r w:rsidR="007A3999">
        <w:rPr>
          <w:rFonts w:ascii="Helvetica" w:hAnsi="Helvetica"/>
          <w:b/>
          <w:bCs/>
          <w:color w:val="1B1B1B"/>
          <w:sz w:val="22"/>
          <w:szCs w:val="22"/>
          <w:shd w:val="clear" w:color="auto" w:fill="FFFFFF"/>
        </w:rPr>
        <w:t xml:space="preserve">. </w:t>
      </w:r>
    </w:p>
    <w:p w14:paraId="44DA639C" w14:textId="1BF2BA28" w:rsidR="007A3999" w:rsidRDefault="007A3999" w:rsidP="009F08AA">
      <w:pPr>
        <w:pStyle w:val="TreB"/>
        <w:spacing w:line="336" w:lineRule="auto"/>
        <w:rPr>
          <w:b w:val="0"/>
          <w:bCs w:val="0"/>
          <w:lang w:val="de-DE"/>
        </w:rPr>
      </w:pPr>
      <w:r>
        <w:rPr>
          <w:b w:val="0"/>
          <w:bCs w:val="0"/>
          <w:lang w:val="de-DE"/>
        </w:rPr>
        <w:t xml:space="preserve">Przyjęta przez Radę Ministrów ustawa Prawo energetyczne, określana jako UC74, wprowadza szereg zmian, których celem jest dostosowanie polskiego prawa do przepisów Unii Europejskiej, </w:t>
      </w:r>
      <w:r w:rsidR="005741B5">
        <w:rPr>
          <w:b w:val="0"/>
          <w:bCs w:val="0"/>
          <w:lang w:val="de-DE"/>
        </w:rPr>
        <w:br/>
      </w:r>
      <w:r>
        <w:rPr>
          <w:b w:val="0"/>
          <w:bCs w:val="0"/>
          <w:lang w:val="de-DE"/>
        </w:rPr>
        <w:t xml:space="preserve">w szczególności do zgodności z Dyrektywą Parlamentu Europejskiego i Rady (UE) 2019/944 </w:t>
      </w:r>
      <w:r w:rsidR="005741B5">
        <w:rPr>
          <w:b w:val="0"/>
          <w:bCs w:val="0"/>
          <w:lang w:val="de-DE"/>
        </w:rPr>
        <w:br/>
      </w:r>
      <w:r>
        <w:rPr>
          <w:b w:val="0"/>
          <w:bCs w:val="0"/>
          <w:lang w:val="de-DE"/>
        </w:rPr>
        <w:t xml:space="preserve">w sprawie wspólnych zasad rynku wewnętrznego energii elektrycznej. </w:t>
      </w:r>
      <w:r w:rsidRPr="007A3999">
        <w:rPr>
          <w:lang w:val="de-DE"/>
        </w:rPr>
        <w:t>Paweł Pisarczyk</w:t>
      </w:r>
      <w:r>
        <w:rPr>
          <w:b w:val="0"/>
          <w:bCs w:val="0"/>
          <w:lang w:val="de-DE"/>
        </w:rPr>
        <w:t xml:space="preserve">, </w:t>
      </w:r>
      <w:r>
        <w:t>e</w:t>
      </w:r>
      <w:r w:rsidRPr="007A3999">
        <w:t>kspert BCC</w:t>
      </w:r>
      <w:r w:rsidRPr="007A3999">
        <w:rPr>
          <w:b w:val="0"/>
          <w:bCs w:val="0"/>
        </w:rPr>
        <w:t xml:space="preserve"> podkreśla, że</w:t>
      </w:r>
      <w:r>
        <w:t xml:space="preserve"> </w:t>
      </w:r>
      <w:r>
        <w:rPr>
          <w:b w:val="0"/>
          <w:bCs w:val="0"/>
          <w:lang w:val="de-DE"/>
        </w:rPr>
        <w:t>część zmian wprowadzonych w nowelizacji UC74 stanowi implementację tej Dyrektywy, co należy przyjąć z uznaniem, jednak niektóre ze zmian zawierają uszczegółowienia, które wydają się zmieniać intencje Dyrektywy.</w:t>
      </w:r>
    </w:p>
    <w:p w14:paraId="3EC930A7" w14:textId="47AFF86E" w:rsidR="008C0577" w:rsidRDefault="00C41302" w:rsidP="009F08AA">
      <w:pPr>
        <w:pStyle w:val="TreB"/>
        <w:spacing w:line="336" w:lineRule="auto"/>
        <w:rPr>
          <w:b w:val="0"/>
          <w:bCs w:val="0"/>
          <w:lang w:val="de-DE"/>
        </w:rPr>
      </w:pPr>
      <w:r>
        <w:rPr>
          <w:b w:val="0"/>
          <w:bCs w:val="0"/>
          <w:lang w:val="de-DE"/>
        </w:rPr>
        <w:t xml:space="preserve">  </w:t>
      </w:r>
    </w:p>
    <w:p w14:paraId="3D8EC59F" w14:textId="49DC468E" w:rsidR="008C0577" w:rsidRPr="007A3999" w:rsidRDefault="00C41302" w:rsidP="009F08AA">
      <w:pPr>
        <w:pStyle w:val="TreB"/>
        <w:spacing w:line="336" w:lineRule="auto"/>
        <w:rPr>
          <w:lang w:val="de-DE"/>
        </w:rPr>
      </w:pPr>
      <w:r>
        <w:rPr>
          <w:b w:val="0"/>
          <w:bCs w:val="0"/>
          <w:i/>
          <w:iCs/>
          <w:lang w:val="de-DE"/>
        </w:rPr>
        <w:t xml:space="preserve">Przykładem mogą być przepisy dotyczące obywatelskich społeczności energetycznych, które wreszcie po wielu latach pojawiają się w nowelizacji i dają nadzieję na rozwój energetyki lokalnej </w:t>
      </w:r>
      <w:r w:rsidR="005741B5">
        <w:rPr>
          <w:b w:val="0"/>
          <w:bCs w:val="0"/>
          <w:i/>
          <w:iCs/>
          <w:lang w:val="de-DE"/>
        </w:rPr>
        <w:br/>
      </w:r>
      <w:r>
        <w:rPr>
          <w:b w:val="0"/>
          <w:bCs w:val="0"/>
          <w:i/>
          <w:iCs/>
          <w:lang w:val="de-DE"/>
        </w:rPr>
        <w:t>i obywatelskiej. W Dyrektywie 2019/944 pojawia się definicja „obywatelskiej społeczności energetycznej” jako osoby prawnej, która opiera się na dobrowolnym i otwartym uczestnictwie i jest skutecznie kontrolowana przez członków lub udziałowców będących osobami fizycznymi, organami samorządowymi, w tym gminami, lub małymi przedsiębiorstwami i ma za główny cel zapewnienie nie tyle zysków finansowych, co raczej środowiskowych, gospodarczych lub społecznych korzyści dla swoich członków</w:t>
      </w:r>
      <w:r w:rsidR="00ED2A0C">
        <w:rPr>
          <w:b w:val="0"/>
          <w:bCs w:val="0"/>
          <w:i/>
          <w:iCs/>
          <w:lang w:val="de-DE"/>
        </w:rPr>
        <w:t>,</w:t>
      </w:r>
      <w:r>
        <w:rPr>
          <w:b w:val="0"/>
          <w:bCs w:val="0"/>
          <w:i/>
          <w:iCs/>
          <w:lang w:val="de-DE"/>
        </w:rPr>
        <w:t xml:space="preserve"> lub udziałowców</w:t>
      </w:r>
      <w:r w:rsidR="00ED2A0C">
        <w:rPr>
          <w:b w:val="0"/>
          <w:bCs w:val="0"/>
          <w:i/>
          <w:iCs/>
          <w:lang w:val="de-DE"/>
        </w:rPr>
        <w:t>,</w:t>
      </w:r>
      <w:r>
        <w:rPr>
          <w:b w:val="0"/>
          <w:bCs w:val="0"/>
          <w:i/>
          <w:iCs/>
          <w:lang w:val="de-DE"/>
        </w:rPr>
        <w:t xml:space="preserve"> lub obszarów lokalnych, na których prowadzi ona działalność. Dodatkowo w Dyrektywie wyjaśniono, że członkostwo w obywatelskich społecznościach energetycznych powinno być otwarte dla podmiotów wszelkich</w:t>
      </w:r>
      <w:r w:rsidR="007A3999">
        <w:rPr>
          <w:b w:val="0"/>
          <w:bCs w:val="0"/>
          <w:i/>
          <w:iCs/>
          <w:lang w:val="de-DE"/>
        </w:rPr>
        <w:t xml:space="preserve"> </w:t>
      </w:r>
      <w:r>
        <w:rPr>
          <w:b w:val="0"/>
          <w:bCs w:val="0"/>
          <w:i/>
          <w:iCs/>
          <w:lang w:val="de-DE"/>
        </w:rPr>
        <w:t>kategorii, ale uprawnienia decyzyjne w obywatelskiej społeczności energetycznej powinny należeć wyłącznie do tych członków lub udziałowców, którzy nie prowadzą działalności komercyjnej na dużą skalę i dla których sektor energetyczny nie jest obszarem podstawowej działalności gospodarczej. </w:t>
      </w:r>
      <w:r w:rsidR="007A3999">
        <w:rPr>
          <w:b w:val="0"/>
          <w:bCs w:val="0"/>
          <w:i/>
          <w:iCs/>
          <w:lang w:val="de-DE"/>
        </w:rPr>
        <w:t xml:space="preserve">– </w:t>
      </w:r>
      <w:r w:rsidR="007A3999" w:rsidRPr="007A3999">
        <w:rPr>
          <w:b w:val="0"/>
          <w:bCs w:val="0"/>
          <w:lang w:val="de-DE"/>
        </w:rPr>
        <w:t>wskazuje</w:t>
      </w:r>
      <w:r>
        <w:rPr>
          <w:lang w:val="de-DE"/>
        </w:rPr>
        <w:t xml:space="preserve"> ekspert BCC.</w:t>
      </w:r>
    </w:p>
    <w:p w14:paraId="29403144" w14:textId="77777777" w:rsidR="008C0577" w:rsidRDefault="008C0577" w:rsidP="009F08AA">
      <w:pPr>
        <w:pStyle w:val="TreB"/>
        <w:spacing w:line="336" w:lineRule="auto"/>
        <w:rPr>
          <w:b w:val="0"/>
          <w:bCs w:val="0"/>
          <w:lang w:val="de-DE"/>
        </w:rPr>
      </w:pPr>
    </w:p>
    <w:p w14:paraId="1EAEC2A4" w14:textId="5ED37CBA" w:rsidR="008C0577" w:rsidRDefault="00342A2B" w:rsidP="009F08AA">
      <w:pPr>
        <w:pStyle w:val="TreB"/>
        <w:spacing w:line="336" w:lineRule="auto"/>
        <w:rPr>
          <w:b w:val="0"/>
          <w:bCs w:val="0"/>
          <w:lang w:val="de-DE"/>
        </w:rPr>
      </w:pPr>
      <w:r>
        <w:rPr>
          <w:b w:val="0"/>
          <w:bCs w:val="0"/>
          <w:lang w:val="de-DE"/>
        </w:rPr>
        <w:t>Jak wskazuje Paweł Pisarczyk</w:t>
      </w:r>
      <w:r w:rsidR="00ED2A0C">
        <w:rPr>
          <w:b w:val="0"/>
          <w:bCs w:val="0"/>
          <w:lang w:val="de-DE"/>
        </w:rPr>
        <w:t>,</w:t>
      </w:r>
      <w:r>
        <w:rPr>
          <w:b w:val="0"/>
          <w:bCs w:val="0"/>
          <w:lang w:val="de-DE"/>
        </w:rPr>
        <w:t xml:space="preserve"> w nowelizacji UC74 także znajduje się podobny zapis, ale działalność społeczności zostaje ograniczona (Rozdział 2c) poprzez eliminację form działalności </w:t>
      </w:r>
      <w:r w:rsidR="005741B5">
        <w:rPr>
          <w:b w:val="0"/>
          <w:bCs w:val="0"/>
          <w:lang w:val="de-DE"/>
        </w:rPr>
        <w:br/>
      </w:r>
      <w:r>
        <w:rPr>
          <w:b w:val="0"/>
          <w:bCs w:val="0"/>
          <w:lang w:val="de-DE"/>
        </w:rPr>
        <w:t xml:space="preserve">w postaci spółek kapitałowych i co najważniejsze poprzez pozbawienie uprawnień decyzyjnych </w:t>
      </w:r>
      <w:r>
        <w:rPr>
          <w:b w:val="0"/>
          <w:bCs w:val="0"/>
          <w:lang w:val="de-DE"/>
        </w:rPr>
        <w:lastRenderedPageBreak/>
        <w:t xml:space="preserve">większości członków takich społeczności. Decyzyjność pozostawiono średnim przedsiębiorstwom </w:t>
      </w:r>
      <w:r w:rsidR="005741B5">
        <w:rPr>
          <w:b w:val="0"/>
          <w:bCs w:val="0"/>
          <w:lang w:val="de-DE"/>
        </w:rPr>
        <w:br/>
      </w:r>
      <w:r>
        <w:rPr>
          <w:b w:val="0"/>
          <w:bCs w:val="0"/>
          <w:lang w:val="de-DE"/>
        </w:rPr>
        <w:t xml:space="preserve">i podmiotom. </w:t>
      </w:r>
    </w:p>
    <w:p w14:paraId="2DCC706C" w14:textId="77777777" w:rsidR="007A3999" w:rsidRDefault="007A3999" w:rsidP="009F08AA">
      <w:pPr>
        <w:pStyle w:val="TreB"/>
        <w:spacing w:line="336" w:lineRule="auto"/>
        <w:rPr>
          <w:b w:val="0"/>
          <w:bCs w:val="0"/>
          <w:lang w:val="de-DE"/>
        </w:rPr>
      </w:pPr>
    </w:p>
    <w:p w14:paraId="316DC540" w14:textId="7F1FA908" w:rsidR="008C0577" w:rsidRDefault="00C41302" w:rsidP="009F08AA">
      <w:pPr>
        <w:pStyle w:val="TreB"/>
        <w:spacing w:line="336" w:lineRule="auto"/>
        <w:rPr>
          <w:b w:val="0"/>
          <w:bCs w:val="0"/>
          <w:lang w:val="de-DE"/>
        </w:rPr>
      </w:pPr>
      <w:r w:rsidRPr="00342A2B">
        <w:rPr>
          <w:b w:val="0"/>
          <w:bCs w:val="0"/>
          <w:i/>
          <w:iCs/>
          <w:lang w:val="de-DE"/>
        </w:rPr>
        <w:t xml:space="preserve">Te dwa uszczegółowienia dotyczące decyzyjności powodują, że działalność obywatelskich społeczności przestaje mieć sens. Po </w:t>
      </w:r>
      <w:proofErr w:type="spellStart"/>
      <w:r w:rsidRPr="00342A2B">
        <w:rPr>
          <w:b w:val="0"/>
          <w:bCs w:val="0"/>
          <w:i/>
          <w:iCs/>
          <w:lang w:val="de-DE"/>
        </w:rPr>
        <w:t>pierwsze</w:t>
      </w:r>
      <w:proofErr w:type="spellEnd"/>
      <w:r>
        <w:rPr>
          <w:b w:val="0"/>
          <w:bCs w:val="0"/>
          <w:i/>
          <w:iCs/>
          <w:lang w:val="de-DE"/>
        </w:rPr>
        <w:t>,</w:t>
      </w:r>
      <w:r w:rsidRPr="00342A2B">
        <w:rPr>
          <w:b w:val="0"/>
          <w:bCs w:val="0"/>
          <w:i/>
          <w:iCs/>
          <w:lang w:val="de-DE"/>
        </w:rPr>
        <w:t xml:space="preserve"> </w:t>
      </w:r>
      <w:proofErr w:type="spellStart"/>
      <w:r w:rsidRPr="00342A2B">
        <w:rPr>
          <w:b w:val="0"/>
          <w:bCs w:val="0"/>
          <w:i/>
          <w:iCs/>
          <w:lang w:val="de-DE"/>
        </w:rPr>
        <w:t>większość</w:t>
      </w:r>
      <w:proofErr w:type="spellEnd"/>
      <w:r w:rsidRPr="00342A2B">
        <w:rPr>
          <w:b w:val="0"/>
          <w:bCs w:val="0"/>
          <w:i/>
          <w:iCs/>
          <w:lang w:val="de-DE"/>
        </w:rPr>
        <w:t xml:space="preserve"> </w:t>
      </w:r>
      <w:proofErr w:type="spellStart"/>
      <w:r w:rsidRPr="00342A2B">
        <w:rPr>
          <w:b w:val="0"/>
          <w:bCs w:val="0"/>
          <w:i/>
          <w:iCs/>
          <w:lang w:val="de-DE"/>
        </w:rPr>
        <w:t>członków</w:t>
      </w:r>
      <w:proofErr w:type="spellEnd"/>
      <w:r w:rsidRPr="00342A2B">
        <w:rPr>
          <w:b w:val="0"/>
          <w:bCs w:val="0"/>
          <w:i/>
          <w:iCs/>
          <w:lang w:val="de-DE"/>
        </w:rPr>
        <w:t xml:space="preserve"> nie będzie posiadać wpływu na działanie takiej społeczności. Po </w:t>
      </w:r>
      <w:proofErr w:type="spellStart"/>
      <w:r w:rsidRPr="00342A2B">
        <w:rPr>
          <w:b w:val="0"/>
          <w:bCs w:val="0"/>
          <w:i/>
          <w:iCs/>
          <w:lang w:val="de-DE"/>
        </w:rPr>
        <w:t>drugie</w:t>
      </w:r>
      <w:proofErr w:type="spellEnd"/>
      <w:r>
        <w:rPr>
          <w:b w:val="0"/>
          <w:bCs w:val="0"/>
          <w:i/>
          <w:iCs/>
          <w:lang w:val="de-DE"/>
        </w:rPr>
        <w:t>,</w:t>
      </w:r>
      <w:r w:rsidRPr="00342A2B">
        <w:rPr>
          <w:b w:val="0"/>
          <w:bCs w:val="0"/>
          <w:i/>
          <w:iCs/>
          <w:lang w:val="de-DE"/>
        </w:rPr>
        <w:t xml:space="preserve"> </w:t>
      </w:r>
      <w:proofErr w:type="spellStart"/>
      <w:r w:rsidRPr="00342A2B">
        <w:rPr>
          <w:b w:val="0"/>
          <w:bCs w:val="0"/>
          <w:i/>
          <w:iCs/>
          <w:lang w:val="de-DE"/>
        </w:rPr>
        <w:t>decyzyjność</w:t>
      </w:r>
      <w:proofErr w:type="spellEnd"/>
      <w:r w:rsidRPr="00342A2B">
        <w:rPr>
          <w:b w:val="0"/>
          <w:bCs w:val="0"/>
          <w:i/>
          <w:iCs/>
          <w:lang w:val="de-DE"/>
        </w:rPr>
        <w:t xml:space="preserve"> </w:t>
      </w:r>
      <w:proofErr w:type="spellStart"/>
      <w:r w:rsidRPr="00342A2B">
        <w:rPr>
          <w:b w:val="0"/>
          <w:bCs w:val="0"/>
          <w:i/>
          <w:iCs/>
          <w:lang w:val="de-DE"/>
        </w:rPr>
        <w:t>została</w:t>
      </w:r>
      <w:proofErr w:type="spellEnd"/>
      <w:r w:rsidRPr="00342A2B">
        <w:rPr>
          <w:b w:val="0"/>
          <w:bCs w:val="0"/>
          <w:i/>
          <w:iCs/>
          <w:lang w:val="de-DE"/>
        </w:rPr>
        <w:t xml:space="preserve"> </w:t>
      </w:r>
      <w:proofErr w:type="spellStart"/>
      <w:r w:rsidRPr="00342A2B">
        <w:rPr>
          <w:b w:val="0"/>
          <w:bCs w:val="0"/>
          <w:i/>
          <w:iCs/>
          <w:lang w:val="de-DE"/>
        </w:rPr>
        <w:t>pozostawiona</w:t>
      </w:r>
      <w:proofErr w:type="spellEnd"/>
      <w:r w:rsidRPr="00342A2B">
        <w:rPr>
          <w:b w:val="0"/>
          <w:bCs w:val="0"/>
          <w:i/>
          <w:iCs/>
          <w:lang w:val="de-DE"/>
        </w:rPr>
        <w:t xml:space="preserve"> wyłącznie średnim firmom i podmiotom związanym ze szkolnictwem i nauką. Jednostki samorządu terytorialnego zostały wykluczone z podejmowania decyzji. </w:t>
      </w:r>
      <w:proofErr w:type="spellStart"/>
      <w:r w:rsidRPr="00342A2B">
        <w:rPr>
          <w:b w:val="0"/>
          <w:bCs w:val="0"/>
          <w:i/>
          <w:iCs/>
          <w:lang w:val="de-DE"/>
        </w:rPr>
        <w:t>Niepokój</w:t>
      </w:r>
      <w:proofErr w:type="spellEnd"/>
      <w:r w:rsidRPr="00342A2B">
        <w:rPr>
          <w:b w:val="0"/>
          <w:bCs w:val="0"/>
          <w:i/>
          <w:iCs/>
          <w:lang w:val="de-DE"/>
        </w:rPr>
        <w:t xml:space="preserve"> </w:t>
      </w:r>
      <w:proofErr w:type="spellStart"/>
      <w:r>
        <w:rPr>
          <w:b w:val="0"/>
          <w:bCs w:val="0"/>
          <w:i/>
          <w:iCs/>
          <w:lang w:val="de-DE"/>
        </w:rPr>
        <w:t>budzi</w:t>
      </w:r>
      <w:proofErr w:type="spellEnd"/>
      <w:r w:rsidRPr="00342A2B">
        <w:rPr>
          <w:b w:val="0"/>
          <w:bCs w:val="0"/>
          <w:i/>
          <w:iCs/>
          <w:lang w:val="de-DE"/>
        </w:rPr>
        <w:t xml:space="preserve"> </w:t>
      </w:r>
      <w:proofErr w:type="spellStart"/>
      <w:r w:rsidRPr="00342A2B">
        <w:rPr>
          <w:b w:val="0"/>
          <w:bCs w:val="0"/>
          <w:i/>
          <w:iCs/>
          <w:lang w:val="de-DE"/>
        </w:rPr>
        <w:t>także</w:t>
      </w:r>
      <w:proofErr w:type="spellEnd"/>
      <w:r w:rsidRPr="00342A2B">
        <w:rPr>
          <w:b w:val="0"/>
          <w:bCs w:val="0"/>
          <w:i/>
          <w:iCs/>
          <w:lang w:val="de-DE"/>
        </w:rPr>
        <w:t xml:space="preserve"> </w:t>
      </w:r>
      <w:proofErr w:type="spellStart"/>
      <w:r w:rsidRPr="00342A2B">
        <w:rPr>
          <w:b w:val="0"/>
          <w:bCs w:val="0"/>
          <w:i/>
          <w:iCs/>
          <w:lang w:val="de-DE"/>
        </w:rPr>
        <w:t>zapis</w:t>
      </w:r>
      <w:proofErr w:type="spellEnd"/>
      <w:r w:rsidRPr="00342A2B">
        <w:rPr>
          <w:b w:val="0"/>
          <w:bCs w:val="0"/>
          <w:i/>
          <w:iCs/>
          <w:lang w:val="de-DE"/>
        </w:rPr>
        <w:t xml:space="preserve"> o </w:t>
      </w:r>
      <w:proofErr w:type="spellStart"/>
      <w:r w:rsidRPr="00342A2B">
        <w:rPr>
          <w:b w:val="0"/>
          <w:bCs w:val="0"/>
          <w:i/>
          <w:iCs/>
          <w:lang w:val="de-DE"/>
        </w:rPr>
        <w:t>konieczności</w:t>
      </w:r>
      <w:proofErr w:type="spellEnd"/>
      <w:r w:rsidRPr="00342A2B">
        <w:rPr>
          <w:b w:val="0"/>
          <w:bCs w:val="0"/>
          <w:i/>
          <w:iCs/>
          <w:lang w:val="de-DE"/>
        </w:rPr>
        <w:t xml:space="preserve"> </w:t>
      </w:r>
      <w:proofErr w:type="spellStart"/>
      <w:r w:rsidRPr="00342A2B">
        <w:rPr>
          <w:b w:val="0"/>
          <w:bCs w:val="0"/>
          <w:i/>
          <w:iCs/>
          <w:lang w:val="de-DE"/>
        </w:rPr>
        <w:t>uzyskania</w:t>
      </w:r>
      <w:proofErr w:type="spellEnd"/>
      <w:r w:rsidRPr="00342A2B">
        <w:rPr>
          <w:b w:val="0"/>
          <w:bCs w:val="0"/>
          <w:i/>
          <w:iCs/>
          <w:lang w:val="de-DE"/>
        </w:rPr>
        <w:t xml:space="preserve"> </w:t>
      </w:r>
      <w:proofErr w:type="spellStart"/>
      <w:r w:rsidRPr="006A7058">
        <w:rPr>
          <w:b w:val="0"/>
          <w:bCs w:val="0"/>
          <w:i/>
          <w:iCs/>
          <w:color w:val="auto"/>
          <w:lang w:val="de-DE"/>
        </w:rPr>
        <w:t>koncesji</w:t>
      </w:r>
      <w:proofErr w:type="spellEnd"/>
      <w:r w:rsidRPr="006A7058">
        <w:rPr>
          <w:b w:val="0"/>
          <w:bCs w:val="0"/>
          <w:i/>
          <w:iCs/>
          <w:color w:val="auto"/>
          <w:lang w:val="de-DE"/>
        </w:rPr>
        <w:t xml:space="preserve"> w </w:t>
      </w:r>
      <w:proofErr w:type="spellStart"/>
      <w:r w:rsidRPr="006A7058">
        <w:rPr>
          <w:b w:val="0"/>
          <w:bCs w:val="0"/>
          <w:i/>
          <w:iCs/>
          <w:color w:val="auto"/>
          <w:lang w:val="de-DE"/>
        </w:rPr>
        <w:t>przypadku</w:t>
      </w:r>
      <w:proofErr w:type="spellEnd"/>
      <w:r w:rsidRPr="006A7058">
        <w:rPr>
          <w:b w:val="0"/>
          <w:bCs w:val="0"/>
          <w:i/>
          <w:iCs/>
          <w:color w:val="auto"/>
          <w:lang w:val="de-DE"/>
        </w:rPr>
        <w:t xml:space="preserve"> </w:t>
      </w:r>
      <w:proofErr w:type="spellStart"/>
      <w:r w:rsidRPr="006A7058">
        <w:rPr>
          <w:b w:val="0"/>
          <w:bCs w:val="0"/>
          <w:i/>
          <w:iCs/>
          <w:color w:val="auto"/>
          <w:lang w:val="de-DE"/>
        </w:rPr>
        <w:t>prowadzenia</w:t>
      </w:r>
      <w:proofErr w:type="spellEnd"/>
      <w:r w:rsidRPr="006A7058">
        <w:rPr>
          <w:b w:val="0"/>
          <w:bCs w:val="0"/>
          <w:i/>
          <w:iCs/>
          <w:color w:val="auto"/>
          <w:lang w:val="de-DE"/>
        </w:rPr>
        <w:t xml:space="preserve"> </w:t>
      </w:r>
      <w:proofErr w:type="spellStart"/>
      <w:r w:rsidRPr="006A7058">
        <w:rPr>
          <w:b w:val="0"/>
          <w:bCs w:val="0"/>
          <w:i/>
          <w:iCs/>
          <w:color w:val="auto"/>
          <w:lang w:val="de-DE"/>
        </w:rPr>
        <w:t>działa</w:t>
      </w:r>
      <w:r w:rsidR="006A7058" w:rsidRPr="006A7058">
        <w:rPr>
          <w:b w:val="0"/>
          <w:bCs w:val="0"/>
          <w:i/>
          <w:iCs/>
          <w:color w:val="auto"/>
          <w:lang w:val="de-DE"/>
        </w:rPr>
        <w:t>l</w:t>
      </w:r>
      <w:r w:rsidRPr="006A7058">
        <w:rPr>
          <w:b w:val="0"/>
          <w:bCs w:val="0"/>
          <w:i/>
          <w:iCs/>
          <w:color w:val="auto"/>
          <w:lang w:val="de-DE"/>
        </w:rPr>
        <w:t>ności</w:t>
      </w:r>
      <w:proofErr w:type="spellEnd"/>
      <w:r w:rsidRPr="006A7058">
        <w:rPr>
          <w:b w:val="0"/>
          <w:bCs w:val="0"/>
          <w:i/>
          <w:iCs/>
          <w:color w:val="auto"/>
          <w:lang w:val="de-DE"/>
        </w:rPr>
        <w:t xml:space="preserve"> </w:t>
      </w:r>
      <w:proofErr w:type="spellStart"/>
      <w:r w:rsidRPr="006A7058">
        <w:rPr>
          <w:b w:val="0"/>
          <w:bCs w:val="0"/>
          <w:i/>
          <w:iCs/>
          <w:color w:val="auto"/>
          <w:lang w:val="de-DE"/>
        </w:rPr>
        <w:t>koncesjonowanej</w:t>
      </w:r>
      <w:proofErr w:type="spellEnd"/>
      <w:r w:rsidRPr="00342A2B">
        <w:rPr>
          <w:b w:val="0"/>
          <w:bCs w:val="0"/>
          <w:i/>
          <w:iCs/>
          <w:lang w:val="de-DE"/>
        </w:rPr>
        <w:t xml:space="preserve">, </w:t>
      </w:r>
      <w:proofErr w:type="spellStart"/>
      <w:r w:rsidRPr="00342A2B">
        <w:rPr>
          <w:b w:val="0"/>
          <w:bCs w:val="0"/>
          <w:i/>
          <w:iCs/>
          <w:lang w:val="de-DE"/>
        </w:rPr>
        <w:t>za</w:t>
      </w:r>
      <w:proofErr w:type="spellEnd"/>
      <w:r w:rsidRPr="00342A2B">
        <w:rPr>
          <w:b w:val="0"/>
          <w:bCs w:val="0"/>
          <w:i/>
          <w:iCs/>
          <w:lang w:val="de-DE"/>
        </w:rPr>
        <w:t xml:space="preserve"> </w:t>
      </w:r>
      <w:proofErr w:type="spellStart"/>
      <w:r w:rsidRPr="00342A2B">
        <w:rPr>
          <w:b w:val="0"/>
          <w:bCs w:val="0"/>
          <w:i/>
          <w:iCs/>
          <w:lang w:val="de-DE"/>
        </w:rPr>
        <w:t>którą</w:t>
      </w:r>
      <w:proofErr w:type="spellEnd"/>
      <w:r w:rsidRPr="00342A2B">
        <w:rPr>
          <w:b w:val="0"/>
          <w:bCs w:val="0"/>
          <w:i/>
          <w:iCs/>
          <w:lang w:val="de-DE"/>
        </w:rPr>
        <w:t xml:space="preserve"> </w:t>
      </w:r>
      <w:proofErr w:type="spellStart"/>
      <w:r w:rsidRPr="00342A2B">
        <w:rPr>
          <w:b w:val="0"/>
          <w:bCs w:val="0"/>
          <w:i/>
          <w:iCs/>
          <w:lang w:val="de-DE"/>
        </w:rPr>
        <w:t>może</w:t>
      </w:r>
      <w:proofErr w:type="spellEnd"/>
      <w:r w:rsidRPr="00342A2B">
        <w:rPr>
          <w:b w:val="0"/>
          <w:bCs w:val="0"/>
          <w:i/>
          <w:iCs/>
          <w:lang w:val="de-DE"/>
        </w:rPr>
        <w:t xml:space="preserve"> </w:t>
      </w:r>
      <w:proofErr w:type="spellStart"/>
      <w:r w:rsidRPr="00342A2B">
        <w:rPr>
          <w:b w:val="0"/>
          <w:bCs w:val="0"/>
          <w:i/>
          <w:iCs/>
          <w:lang w:val="de-DE"/>
        </w:rPr>
        <w:t>być</w:t>
      </w:r>
      <w:proofErr w:type="spellEnd"/>
      <w:r w:rsidRPr="00342A2B">
        <w:rPr>
          <w:b w:val="0"/>
          <w:bCs w:val="0"/>
          <w:i/>
          <w:iCs/>
          <w:lang w:val="de-DE"/>
        </w:rPr>
        <w:t xml:space="preserve"> </w:t>
      </w:r>
      <w:proofErr w:type="spellStart"/>
      <w:r w:rsidRPr="00342A2B">
        <w:rPr>
          <w:b w:val="0"/>
          <w:bCs w:val="0"/>
          <w:i/>
          <w:iCs/>
          <w:lang w:val="de-DE"/>
        </w:rPr>
        <w:t>uważane</w:t>
      </w:r>
      <w:proofErr w:type="spellEnd"/>
      <w:r w:rsidRPr="00342A2B">
        <w:rPr>
          <w:b w:val="0"/>
          <w:bCs w:val="0"/>
          <w:i/>
          <w:iCs/>
          <w:lang w:val="de-DE"/>
        </w:rPr>
        <w:t xml:space="preserve"> obracanie energią wewnątrz społeczności</w:t>
      </w:r>
      <w:r>
        <w:rPr>
          <w:b w:val="0"/>
          <w:bCs w:val="0"/>
          <w:lang w:val="de-DE"/>
        </w:rPr>
        <w:t xml:space="preserve">. </w:t>
      </w:r>
      <w:r w:rsidR="007A3999">
        <w:rPr>
          <w:b w:val="0"/>
          <w:bCs w:val="0"/>
          <w:lang w:val="de-DE"/>
        </w:rPr>
        <w:t>–</w:t>
      </w:r>
      <w:r>
        <w:rPr>
          <w:b w:val="0"/>
          <w:bCs w:val="0"/>
          <w:lang w:val="de-DE"/>
        </w:rPr>
        <w:t xml:space="preserve"> </w:t>
      </w:r>
      <w:proofErr w:type="spellStart"/>
      <w:r>
        <w:rPr>
          <w:b w:val="0"/>
          <w:bCs w:val="0"/>
          <w:lang w:val="de-DE"/>
        </w:rPr>
        <w:t>dodaje</w:t>
      </w:r>
      <w:proofErr w:type="spellEnd"/>
      <w:r>
        <w:rPr>
          <w:b w:val="0"/>
          <w:bCs w:val="0"/>
          <w:lang w:val="de-DE"/>
        </w:rPr>
        <w:t xml:space="preserve"> </w:t>
      </w:r>
      <w:proofErr w:type="spellStart"/>
      <w:r>
        <w:rPr>
          <w:b w:val="0"/>
          <w:bCs w:val="0"/>
          <w:lang w:val="de-DE"/>
        </w:rPr>
        <w:t>ekspert</w:t>
      </w:r>
      <w:proofErr w:type="spellEnd"/>
      <w:r>
        <w:rPr>
          <w:b w:val="0"/>
          <w:bCs w:val="0"/>
          <w:lang w:val="de-DE"/>
        </w:rPr>
        <w:t>.</w:t>
      </w:r>
    </w:p>
    <w:p w14:paraId="5B350084" w14:textId="77777777" w:rsidR="008C0577" w:rsidRDefault="008C0577" w:rsidP="009F08AA">
      <w:pPr>
        <w:pStyle w:val="TreB"/>
        <w:spacing w:line="336" w:lineRule="auto"/>
        <w:rPr>
          <w:b w:val="0"/>
          <w:bCs w:val="0"/>
          <w:lang w:val="de-DE"/>
        </w:rPr>
      </w:pPr>
    </w:p>
    <w:p w14:paraId="1B61A0BF" w14:textId="54E0FB82" w:rsidR="008C0577" w:rsidRDefault="00342A2B" w:rsidP="009F08AA">
      <w:pPr>
        <w:pStyle w:val="TreB"/>
        <w:spacing w:line="336" w:lineRule="auto"/>
        <w:rPr>
          <w:i/>
          <w:iCs/>
          <w:lang w:val="de-DE"/>
        </w:rPr>
      </w:pPr>
      <w:r>
        <w:rPr>
          <w:b w:val="0"/>
          <w:bCs w:val="0"/>
          <w:lang w:val="de-DE"/>
        </w:rPr>
        <w:t xml:space="preserve">Ekspert BCC ds. </w:t>
      </w:r>
      <w:r w:rsidRPr="00342A2B">
        <w:rPr>
          <w:b w:val="0"/>
          <w:bCs w:val="0"/>
          <w:lang w:val="de-DE"/>
        </w:rPr>
        <w:t>transformacji energetycznej i nowoczesnej energetyki</w:t>
      </w:r>
      <w:r>
        <w:rPr>
          <w:b w:val="0"/>
          <w:bCs w:val="0"/>
          <w:lang w:val="de-DE"/>
        </w:rPr>
        <w:t xml:space="preserve"> zakłada także, że intencją Dyrektywy było zapewnienie, by społeczności energetyczne nie zostały „zawłaszczone</w:t>
      </w:r>
      <w:r w:rsidR="00290998">
        <w:rPr>
          <w:b w:val="0"/>
          <w:bCs w:val="0"/>
          <w:lang w:val="de-DE"/>
        </w:rPr>
        <w:t>“</w:t>
      </w:r>
      <w:r>
        <w:rPr>
          <w:b w:val="0"/>
          <w:bCs w:val="0"/>
          <w:lang w:val="de-DE"/>
        </w:rPr>
        <w:t xml:space="preserve"> przez podmioty operujące na istniejącym, scentralizowanym rynku energetycznym i zapewnienie ich niezależności oraz charakteru obywatelskiego, a nie pozbawienie sensu ich rozwoju.  </w:t>
      </w:r>
      <w:r>
        <w:rPr>
          <w:i/>
          <w:iCs/>
          <w:lang w:val="de-DE"/>
        </w:rPr>
        <w:t>Niestety czytając zapisy nowelizacji</w:t>
      </w:r>
      <w:r w:rsidR="00290998">
        <w:rPr>
          <w:i/>
          <w:iCs/>
          <w:lang w:val="de-DE"/>
        </w:rPr>
        <w:t>,</w:t>
      </w:r>
      <w:r>
        <w:rPr>
          <w:i/>
          <w:iCs/>
          <w:lang w:val="de-DE"/>
        </w:rPr>
        <w:t xml:space="preserve"> odnosi się wrażenie, że społeczności energetyczne mają być podmiotami, których powoływaniem nikt nie będzie zainteresowany. </w:t>
      </w:r>
      <w:r>
        <w:rPr>
          <w:b w:val="0"/>
          <w:bCs w:val="0"/>
          <w:lang w:val="de-DE"/>
        </w:rPr>
        <w:t>–</w:t>
      </w:r>
      <w:r>
        <w:rPr>
          <w:i/>
          <w:iCs/>
          <w:lang w:val="de-DE"/>
        </w:rPr>
        <w:t xml:space="preserve"> </w:t>
      </w:r>
      <w:r>
        <w:rPr>
          <w:b w:val="0"/>
          <w:bCs w:val="0"/>
          <w:lang w:val="de-DE"/>
        </w:rPr>
        <w:t>zauważa</w:t>
      </w:r>
      <w:r>
        <w:rPr>
          <w:i/>
          <w:iCs/>
          <w:lang w:val="de-DE"/>
        </w:rPr>
        <w:t>.</w:t>
      </w:r>
    </w:p>
    <w:p w14:paraId="7DD48B7D" w14:textId="77777777" w:rsidR="00342A2B" w:rsidRPr="00342A2B" w:rsidRDefault="00342A2B" w:rsidP="009F08AA">
      <w:pPr>
        <w:pStyle w:val="TreB"/>
        <w:spacing w:line="336" w:lineRule="auto"/>
        <w:rPr>
          <w:b w:val="0"/>
          <w:bCs w:val="0"/>
          <w:lang w:val="de-DE"/>
        </w:rPr>
      </w:pPr>
    </w:p>
    <w:p w14:paraId="0B607C3B" w14:textId="25316B86" w:rsidR="008C0577" w:rsidRDefault="00C41302" w:rsidP="009F08AA">
      <w:pPr>
        <w:pStyle w:val="TreB"/>
        <w:spacing w:line="336" w:lineRule="auto"/>
        <w:rPr>
          <w:b w:val="0"/>
          <w:bCs w:val="0"/>
          <w:lang w:val="de-DE"/>
        </w:rPr>
      </w:pPr>
      <w:proofErr w:type="spellStart"/>
      <w:r>
        <w:rPr>
          <w:b w:val="0"/>
          <w:bCs w:val="0"/>
          <w:lang w:val="de-DE"/>
        </w:rPr>
        <w:t>Ponadto</w:t>
      </w:r>
      <w:proofErr w:type="spellEnd"/>
      <w:r>
        <w:rPr>
          <w:b w:val="0"/>
          <w:bCs w:val="0"/>
          <w:lang w:val="de-DE"/>
        </w:rPr>
        <w:t xml:space="preserve"> w </w:t>
      </w:r>
      <w:proofErr w:type="spellStart"/>
      <w:r>
        <w:rPr>
          <w:b w:val="0"/>
          <w:bCs w:val="0"/>
          <w:lang w:val="de-DE"/>
        </w:rPr>
        <w:t>nowelizacji</w:t>
      </w:r>
      <w:proofErr w:type="spellEnd"/>
      <w:r>
        <w:rPr>
          <w:b w:val="0"/>
          <w:bCs w:val="0"/>
          <w:lang w:val="de-DE"/>
        </w:rPr>
        <w:t xml:space="preserve"> </w:t>
      </w:r>
      <w:proofErr w:type="spellStart"/>
      <w:r>
        <w:rPr>
          <w:b w:val="0"/>
          <w:bCs w:val="0"/>
          <w:lang w:val="de-DE"/>
        </w:rPr>
        <w:t>pominięto</w:t>
      </w:r>
      <w:proofErr w:type="spellEnd"/>
      <w:r>
        <w:rPr>
          <w:b w:val="0"/>
          <w:bCs w:val="0"/>
          <w:lang w:val="de-DE"/>
        </w:rPr>
        <w:t xml:space="preserve"> </w:t>
      </w:r>
      <w:proofErr w:type="spellStart"/>
      <w:r>
        <w:rPr>
          <w:b w:val="0"/>
          <w:bCs w:val="0"/>
          <w:lang w:val="de-DE"/>
        </w:rPr>
        <w:t>zapisy</w:t>
      </w:r>
      <w:proofErr w:type="spellEnd"/>
      <w:r>
        <w:rPr>
          <w:b w:val="0"/>
          <w:bCs w:val="0"/>
          <w:lang w:val="de-DE"/>
        </w:rPr>
        <w:t xml:space="preserve"> </w:t>
      </w:r>
      <w:proofErr w:type="spellStart"/>
      <w:r>
        <w:rPr>
          <w:b w:val="0"/>
          <w:bCs w:val="0"/>
          <w:lang w:val="de-DE"/>
        </w:rPr>
        <w:t>Dyrektywy</w:t>
      </w:r>
      <w:proofErr w:type="spellEnd"/>
      <w:r>
        <w:rPr>
          <w:b w:val="0"/>
          <w:bCs w:val="0"/>
          <w:lang w:val="de-DE"/>
        </w:rPr>
        <w:t xml:space="preserve"> </w:t>
      </w:r>
      <w:proofErr w:type="spellStart"/>
      <w:r>
        <w:rPr>
          <w:b w:val="0"/>
          <w:bCs w:val="0"/>
          <w:lang w:val="de-DE"/>
        </w:rPr>
        <w:t>mówiące</w:t>
      </w:r>
      <w:proofErr w:type="spellEnd"/>
      <w:r>
        <w:rPr>
          <w:b w:val="0"/>
          <w:bCs w:val="0"/>
          <w:lang w:val="de-DE"/>
        </w:rPr>
        <w:t xml:space="preserve"> o </w:t>
      </w:r>
      <w:proofErr w:type="spellStart"/>
      <w:r>
        <w:rPr>
          <w:b w:val="0"/>
          <w:bCs w:val="0"/>
          <w:lang w:val="de-DE"/>
        </w:rPr>
        <w:t>tym</w:t>
      </w:r>
      <w:proofErr w:type="spellEnd"/>
      <w:r>
        <w:rPr>
          <w:b w:val="0"/>
          <w:bCs w:val="0"/>
          <w:lang w:val="de-DE"/>
        </w:rPr>
        <w:t xml:space="preserve">, </w:t>
      </w:r>
      <w:proofErr w:type="spellStart"/>
      <w:r>
        <w:rPr>
          <w:b w:val="0"/>
          <w:bCs w:val="0"/>
          <w:lang w:val="de-DE"/>
        </w:rPr>
        <w:t>by</w:t>
      </w:r>
      <w:proofErr w:type="spellEnd"/>
      <w:r>
        <w:rPr>
          <w:b w:val="0"/>
          <w:bCs w:val="0"/>
          <w:lang w:val="de-DE"/>
        </w:rPr>
        <w:t xml:space="preserve"> </w:t>
      </w:r>
      <w:proofErr w:type="spellStart"/>
      <w:r>
        <w:rPr>
          <w:b w:val="0"/>
          <w:bCs w:val="0"/>
          <w:lang w:val="de-DE"/>
        </w:rPr>
        <w:t>państwa</w:t>
      </w:r>
      <w:proofErr w:type="spellEnd"/>
      <w:r>
        <w:rPr>
          <w:b w:val="0"/>
          <w:bCs w:val="0"/>
          <w:lang w:val="de-DE"/>
        </w:rPr>
        <w:t xml:space="preserve"> </w:t>
      </w:r>
      <w:proofErr w:type="spellStart"/>
      <w:r>
        <w:rPr>
          <w:b w:val="0"/>
          <w:bCs w:val="0"/>
          <w:lang w:val="de-DE"/>
        </w:rPr>
        <w:t>członkowskie</w:t>
      </w:r>
      <w:proofErr w:type="spellEnd"/>
      <w:r w:rsidR="006A7058">
        <w:rPr>
          <w:b w:val="0"/>
          <w:bCs w:val="0"/>
          <w:lang w:val="de-DE"/>
        </w:rPr>
        <w:t>,</w:t>
      </w:r>
      <w:r>
        <w:rPr>
          <w:b w:val="0"/>
          <w:bCs w:val="0"/>
          <w:lang w:val="de-DE"/>
        </w:rPr>
        <w:t xml:space="preserve"> </w:t>
      </w:r>
      <w:proofErr w:type="spellStart"/>
      <w:r>
        <w:rPr>
          <w:b w:val="0"/>
          <w:bCs w:val="0"/>
          <w:lang w:val="de-DE"/>
        </w:rPr>
        <w:t>zapewniły</w:t>
      </w:r>
      <w:proofErr w:type="spellEnd"/>
      <w:r>
        <w:rPr>
          <w:b w:val="0"/>
          <w:bCs w:val="0"/>
          <w:lang w:val="de-DE"/>
        </w:rPr>
        <w:t xml:space="preserve"> </w:t>
      </w:r>
      <w:proofErr w:type="spellStart"/>
      <w:r>
        <w:rPr>
          <w:b w:val="0"/>
          <w:bCs w:val="0"/>
          <w:lang w:val="de-DE"/>
        </w:rPr>
        <w:t>obywatelskim</w:t>
      </w:r>
      <w:proofErr w:type="spellEnd"/>
      <w:r>
        <w:rPr>
          <w:b w:val="0"/>
          <w:bCs w:val="0"/>
          <w:lang w:val="de-DE"/>
        </w:rPr>
        <w:t xml:space="preserve"> </w:t>
      </w:r>
      <w:proofErr w:type="spellStart"/>
      <w:r>
        <w:rPr>
          <w:b w:val="0"/>
          <w:bCs w:val="0"/>
          <w:lang w:val="de-DE"/>
        </w:rPr>
        <w:t>społecznością</w:t>
      </w:r>
      <w:proofErr w:type="spellEnd"/>
      <w:r>
        <w:rPr>
          <w:b w:val="0"/>
          <w:bCs w:val="0"/>
          <w:lang w:val="de-DE"/>
        </w:rPr>
        <w:t xml:space="preserve"> </w:t>
      </w:r>
      <w:proofErr w:type="spellStart"/>
      <w:r>
        <w:rPr>
          <w:b w:val="0"/>
          <w:bCs w:val="0"/>
          <w:lang w:val="de-DE"/>
        </w:rPr>
        <w:t>energetycznym</w:t>
      </w:r>
      <w:proofErr w:type="spellEnd"/>
      <w:r>
        <w:rPr>
          <w:b w:val="0"/>
          <w:bCs w:val="0"/>
          <w:lang w:val="de-DE"/>
        </w:rPr>
        <w:t xml:space="preserve"> </w:t>
      </w:r>
      <w:proofErr w:type="spellStart"/>
      <w:r>
        <w:rPr>
          <w:b w:val="0"/>
          <w:bCs w:val="0"/>
          <w:lang w:val="de-DE"/>
        </w:rPr>
        <w:t>dostępu</w:t>
      </w:r>
      <w:proofErr w:type="spellEnd"/>
      <w:r>
        <w:rPr>
          <w:b w:val="0"/>
          <w:bCs w:val="0"/>
          <w:lang w:val="de-DE"/>
        </w:rPr>
        <w:t xml:space="preserve"> – bez dyskryminacji – do wszystkich rynków energii elektrycznej, bezpośrednio lub za pośrednictwem agregacji oraz nie odniesiono się do relacji pomiędzy społecznością energetyczną, a operatorem systemu dystrybucyjnego.</w:t>
      </w:r>
    </w:p>
    <w:p w14:paraId="0F8AA9CB" w14:textId="77777777" w:rsidR="008C0577" w:rsidRDefault="008C0577" w:rsidP="009F08AA">
      <w:pPr>
        <w:pStyle w:val="TreB"/>
        <w:spacing w:line="336" w:lineRule="auto"/>
        <w:rPr>
          <w:b w:val="0"/>
          <w:bCs w:val="0"/>
          <w:lang w:val="de-DE"/>
        </w:rPr>
      </w:pPr>
    </w:p>
    <w:p w14:paraId="55A099BA" w14:textId="1958F11E" w:rsidR="008C0577" w:rsidRDefault="00C41302" w:rsidP="009F08AA">
      <w:pPr>
        <w:pStyle w:val="TreB"/>
        <w:spacing w:line="336" w:lineRule="auto"/>
        <w:rPr>
          <w:lang w:val="de-DE"/>
        </w:rPr>
      </w:pPr>
      <w:r>
        <w:rPr>
          <w:b w:val="0"/>
          <w:bCs w:val="0"/>
          <w:i/>
          <w:iCs/>
          <w:lang w:val="de-DE"/>
        </w:rPr>
        <w:t xml:space="preserve">Wprowadzona </w:t>
      </w:r>
      <w:proofErr w:type="spellStart"/>
      <w:r>
        <w:rPr>
          <w:b w:val="0"/>
          <w:bCs w:val="0"/>
          <w:i/>
          <w:iCs/>
          <w:lang w:val="de-DE"/>
        </w:rPr>
        <w:t>nowelizacja</w:t>
      </w:r>
      <w:proofErr w:type="spellEnd"/>
      <w:r>
        <w:rPr>
          <w:b w:val="0"/>
          <w:bCs w:val="0"/>
          <w:i/>
          <w:iCs/>
          <w:lang w:val="de-DE"/>
        </w:rPr>
        <w:t xml:space="preserve"> UC74 w </w:t>
      </w:r>
      <w:proofErr w:type="spellStart"/>
      <w:r>
        <w:rPr>
          <w:b w:val="0"/>
          <w:bCs w:val="0"/>
          <w:i/>
          <w:iCs/>
          <w:lang w:val="de-DE"/>
        </w:rPr>
        <w:t>zakresie</w:t>
      </w:r>
      <w:proofErr w:type="spellEnd"/>
      <w:r>
        <w:rPr>
          <w:b w:val="0"/>
          <w:bCs w:val="0"/>
          <w:i/>
          <w:iCs/>
          <w:lang w:val="de-DE"/>
        </w:rPr>
        <w:t xml:space="preserve"> </w:t>
      </w:r>
      <w:proofErr w:type="spellStart"/>
      <w:r>
        <w:rPr>
          <w:b w:val="0"/>
          <w:bCs w:val="0"/>
          <w:i/>
          <w:iCs/>
          <w:lang w:val="de-DE"/>
        </w:rPr>
        <w:t>społeczności</w:t>
      </w:r>
      <w:proofErr w:type="spellEnd"/>
      <w:r>
        <w:rPr>
          <w:b w:val="0"/>
          <w:bCs w:val="0"/>
          <w:i/>
          <w:iCs/>
          <w:lang w:val="de-DE"/>
        </w:rPr>
        <w:t xml:space="preserve"> </w:t>
      </w:r>
      <w:proofErr w:type="spellStart"/>
      <w:r>
        <w:rPr>
          <w:b w:val="0"/>
          <w:bCs w:val="0"/>
          <w:i/>
          <w:iCs/>
          <w:lang w:val="de-DE"/>
        </w:rPr>
        <w:t>energetycznych</w:t>
      </w:r>
      <w:proofErr w:type="spellEnd"/>
      <w:r>
        <w:rPr>
          <w:b w:val="0"/>
          <w:bCs w:val="0"/>
          <w:i/>
          <w:iCs/>
          <w:lang w:val="de-DE"/>
        </w:rPr>
        <w:t xml:space="preserve"> </w:t>
      </w:r>
      <w:proofErr w:type="spellStart"/>
      <w:r>
        <w:rPr>
          <w:b w:val="0"/>
          <w:bCs w:val="0"/>
          <w:i/>
          <w:iCs/>
          <w:lang w:val="de-DE"/>
        </w:rPr>
        <w:t>powoduje</w:t>
      </w:r>
      <w:proofErr w:type="spellEnd"/>
      <w:r>
        <w:rPr>
          <w:b w:val="0"/>
          <w:bCs w:val="0"/>
          <w:i/>
          <w:iCs/>
          <w:lang w:val="de-DE"/>
        </w:rPr>
        <w:t xml:space="preserve"> </w:t>
      </w:r>
      <w:proofErr w:type="spellStart"/>
      <w:r>
        <w:rPr>
          <w:b w:val="0"/>
          <w:bCs w:val="0"/>
          <w:i/>
          <w:iCs/>
          <w:lang w:val="de-DE"/>
        </w:rPr>
        <w:t>mieszane</w:t>
      </w:r>
      <w:proofErr w:type="spellEnd"/>
      <w:r w:rsidRPr="00C41302">
        <w:rPr>
          <w:b w:val="0"/>
          <w:bCs w:val="0"/>
          <w:i/>
          <w:iCs/>
          <w:lang w:val="de-DE"/>
        </w:rPr>
        <w:t xml:space="preserve"> </w:t>
      </w:r>
      <w:proofErr w:type="spellStart"/>
      <w:r>
        <w:rPr>
          <w:b w:val="0"/>
          <w:bCs w:val="0"/>
          <w:i/>
          <w:iCs/>
          <w:lang w:val="de-DE"/>
        </w:rPr>
        <w:t>uczucia</w:t>
      </w:r>
      <w:proofErr w:type="spellEnd"/>
      <w:r>
        <w:rPr>
          <w:b w:val="0"/>
          <w:bCs w:val="0"/>
          <w:i/>
          <w:iCs/>
          <w:lang w:val="de-DE"/>
        </w:rPr>
        <w:t xml:space="preserve">. Z </w:t>
      </w:r>
      <w:proofErr w:type="spellStart"/>
      <w:r>
        <w:rPr>
          <w:b w:val="0"/>
          <w:bCs w:val="0"/>
          <w:i/>
          <w:iCs/>
          <w:lang w:val="de-DE"/>
        </w:rPr>
        <w:t>jednej</w:t>
      </w:r>
      <w:proofErr w:type="spellEnd"/>
      <w:r>
        <w:rPr>
          <w:b w:val="0"/>
          <w:bCs w:val="0"/>
          <w:i/>
          <w:iCs/>
          <w:lang w:val="de-DE"/>
        </w:rPr>
        <w:t xml:space="preserve"> </w:t>
      </w:r>
      <w:proofErr w:type="spellStart"/>
      <w:r>
        <w:rPr>
          <w:b w:val="0"/>
          <w:bCs w:val="0"/>
          <w:i/>
          <w:iCs/>
          <w:lang w:val="de-DE"/>
        </w:rPr>
        <w:t>strony</w:t>
      </w:r>
      <w:proofErr w:type="spellEnd"/>
      <w:r>
        <w:rPr>
          <w:b w:val="0"/>
          <w:bCs w:val="0"/>
          <w:i/>
          <w:iCs/>
          <w:lang w:val="de-DE"/>
        </w:rPr>
        <w:t xml:space="preserve"> </w:t>
      </w:r>
      <w:proofErr w:type="spellStart"/>
      <w:r>
        <w:rPr>
          <w:b w:val="0"/>
          <w:bCs w:val="0"/>
          <w:i/>
          <w:iCs/>
          <w:lang w:val="de-DE"/>
        </w:rPr>
        <w:t>wprowadzan</w:t>
      </w:r>
      <w:r w:rsidR="006A7058">
        <w:rPr>
          <w:b w:val="0"/>
          <w:bCs w:val="0"/>
          <w:i/>
          <w:iCs/>
          <w:lang w:val="de-DE"/>
        </w:rPr>
        <w:t>ych</w:t>
      </w:r>
      <w:proofErr w:type="spellEnd"/>
      <w:r>
        <w:rPr>
          <w:b w:val="0"/>
          <w:bCs w:val="0"/>
          <w:i/>
          <w:iCs/>
          <w:lang w:val="de-DE"/>
        </w:rPr>
        <w:t xml:space="preserve"> </w:t>
      </w:r>
      <w:proofErr w:type="spellStart"/>
      <w:r>
        <w:rPr>
          <w:b w:val="0"/>
          <w:bCs w:val="0"/>
          <w:i/>
          <w:iCs/>
          <w:lang w:val="de-DE"/>
        </w:rPr>
        <w:t>jest</w:t>
      </w:r>
      <w:proofErr w:type="spellEnd"/>
      <w:r>
        <w:rPr>
          <w:b w:val="0"/>
          <w:bCs w:val="0"/>
          <w:i/>
          <w:iCs/>
          <w:lang w:val="de-DE"/>
        </w:rPr>
        <w:t xml:space="preserve"> </w:t>
      </w:r>
      <w:proofErr w:type="spellStart"/>
      <w:r>
        <w:rPr>
          <w:b w:val="0"/>
          <w:bCs w:val="0"/>
          <w:i/>
          <w:iCs/>
          <w:lang w:val="de-DE"/>
        </w:rPr>
        <w:t>szereg</w:t>
      </w:r>
      <w:proofErr w:type="spellEnd"/>
      <w:r>
        <w:rPr>
          <w:b w:val="0"/>
          <w:bCs w:val="0"/>
          <w:i/>
          <w:iCs/>
          <w:lang w:val="de-DE"/>
        </w:rPr>
        <w:t xml:space="preserve"> </w:t>
      </w:r>
      <w:proofErr w:type="spellStart"/>
      <w:r>
        <w:rPr>
          <w:b w:val="0"/>
          <w:bCs w:val="0"/>
          <w:i/>
          <w:iCs/>
          <w:lang w:val="de-DE"/>
        </w:rPr>
        <w:t>długo</w:t>
      </w:r>
      <w:proofErr w:type="spellEnd"/>
      <w:r>
        <w:rPr>
          <w:b w:val="0"/>
          <w:bCs w:val="0"/>
          <w:i/>
          <w:iCs/>
          <w:lang w:val="de-DE"/>
        </w:rPr>
        <w:t xml:space="preserve"> </w:t>
      </w:r>
      <w:proofErr w:type="spellStart"/>
      <w:r>
        <w:rPr>
          <w:b w:val="0"/>
          <w:bCs w:val="0"/>
          <w:i/>
          <w:iCs/>
          <w:lang w:val="de-DE"/>
        </w:rPr>
        <w:t>oczekiwanych</w:t>
      </w:r>
      <w:proofErr w:type="spellEnd"/>
      <w:r>
        <w:rPr>
          <w:b w:val="0"/>
          <w:bCs w:val="0"/>
          <w:i/>
          <w:iCs/>
          <w:lang w:val="de-DE"/>
        </w:rPr>
        <w:t xml:space="preserve"> </w:t>
      </w:r>
      <w:proofErr w:type="spellStart"/>
      <w:r>
        <w:rPr>
          <w:b w:val="0"/>
          <w:bCs w:val="0"/>
          <w:i/>
          <w:iCs/>
          <w:lang w:val="de-DE"/>
        </w:rPr>
        <w:t>zmian</w:t>
      </w:r>
      <w:proofErr w:type="spellEnd"/>
      <w:r>
        <w:rPr>
          <w:b w:val="0"/>
          <w:bCs w:val="0"/>
          <w:i/>
          <w:iCs/>
          <w:lang w:val="de-DE"/>
        </w:rPr>
        <w:t xml:space="preserve">, </w:t>
      </w:r>
      <w:proofErr w:type="spellStart"/>
      <w:r>
        <w:rPr>
          <w:b w:val="0"/>
          <w:bCs w:val="0"/>
          <w:i/>
          <w:iCs/>
          <w:lang w:val="de-DE"/>
        </w:rPr>
        <w:t>jednak</w:t>
      </w:r>
      <w:proofErr w:type="spellEnd"/>
      <w:r>
        <w:rPr>
          <w:b w:val="0"/>
          <w:bCs w:val="0"/>
          <w:i/>
          <w:iCs/>
          <w:lang w:val="de-DE"/>
        </w:rPr>
        <w:t xml:space="preserve"> </w:t>
      </w:r>
      <w:proofErr w:type="spellStart"/>
      <w:r>
        <w:rPr>
          <w:b w:val="0"/>
          <w:bCs w:val="0"/>
          <w:i/>
          <w:iCs/>
          <w:lang w:val="de-DE"/>
        </w:rPr>
        <w:t>wniknięcie</w:t>
      </w:r>
      <w:proofErr w:type="spellEnd"/>
      <w:r>
        <w:rPr>
          <w:b w:val="0"/>
          <w:bCs w:val="0"/>
          <w:i/>
          <w:iCs/>
          <w:lang w:val="de-DE"/>
        </w:rPr>
        <w:t xml:space="preserve"> w </w:t>
      </w:r>
      <w:proofErr w:type="spellStart"/>
      <w:r>
        <w:rPr>
          <w:b w:val="0"/>
          <w:bCs w:val="0"/>
          <w:i/>
          <w:iCs/>
          <w:lang w:val="de-DE"/>
        </w:rPr>
        <w:t>szczegóły</w:t>
      </w:r>
      <w:proofErr w:type="spellEnd"/>
      <w:r>
        <w:rPr>
          <w:b w:val="0"/>
          <w:bCs w:val="0"/>
          <w:i/>
          <w:iCs/>
          <w:lang w:val="de-DE"/>
        </w:rPr>
        <w:t xml:space="preserve"> powoduje, że entuzja</w:t>
      </w:r>
      <w:r w:rsidR="00290998">
        <w:rPr>
          <w:b w:val="0"/>
          <w:bCs w:val="0"/>
          <w:i/>
          <w:iCs/>
          <w:lang w:val="de-DE"/>
        </w:rPr>
        <w:t>z</w:t>
      </w:r>
      <w:r>
        <w:rPr>
          <w:b w:val="0"/>
          <w:bCs w:val="0"/>
          <w:i/>
          <w:iCs/>
          <w:lang w:val="de-DE"/>
        </w:rPr>
        <w:t xml:space="preserve">m szybko mija, ponieważ nowe mechanizmy są ograniczone dodatkowymi zapisami pozbawiającymi je w wielu miejscach sensu biznesowego. Pozostaje mieć nadzieję, że te ograniczenia zostaną wyeliminowane w najbliższej przyszłości i intencją nowelizacji pozostaje rozwój nowoczesnej energetyki obywatelskiej. </w:t>
      </w:r>
      <w:r w:rsidR="00342A2B">
        <w:rPr>
          <w:b w:val="0"/>
          <w:bCs w:val="0"/>
          <w:i/>
          <w:iCs/>
          <w:lang w:val="de-DE"/>
        </w:rPr>
        <w:t>–</w:t>
      </w:r>
      <w:r>
        <w:rPr>
          <w:b w:val="0"/>
          <w:bCs w:val="0"/>
          <w:i/>
          <w:iCs/>
          <w:lang w:val="de-DE"/>
        </w:rPr>
        <w:t xml:space="preserve"> </w:t>
      </w:r>
      <w:r>
        <w:rPr>
          <w:lang w:val="de-DE"/>
        </w:rPr>
        <w:t>podsumowuje ekspert BCC.</w:t>
      </w:r>
    </w:p>
    <w:p w14:paraId="432542E8" w14:textId="77777777" w:rsidR="008C0577" w:rsidRDefault="008C0577">
      <w:pPr>
        <w:pStyle w:val="TreA"/>
        <w:spacing w:after="160" w:line="288" w:lineRule="auto"/>
        <w:jc w:val="both"/>
        <w:rPr>
          <w:rFonts w:ascii="Arial" w:eastAsia="Arial" w:hAnsi="Arial" w:cs="Arial"/>
          <w:b/>
          <w:bCs/>
        </w:rPr>
      </w:pPr>
    </w:p>
    <w:p w14:paraId="06761BCC" w14:textId="48A7381F" w:rsidR="008C0577" w:rsidRPr="00CE6353" w:rsidRDefault="00C41302" w:rsidP="00CE6353">
      <w:pPr>
        <w:pStyle w:val="TreA"/>
        <w:spacing w:after="160" w:line="288" w:lineRule="auto"/>
        <w:jc w:val="both"/>
        <w:rPr>
          <w:rFonts w:ascii="Arial" w:eastAsia="Arial" w:hAnsi="Arial" w:cs="Arial"/>
          <w:b/>
          <w:bCs/>
        </w:rPr>
      </w:pPr>
      <w:r w:rsidRPr="00C41302">
        <w:rPr>
          <w:rFonts w:ascii="Arial" w:hAnsi="Arial"/>
          <w:b/>
          <w:bCs/>
        </w:rPr>
        <w:t>———</w:t>
      </w:r>
      <w:r>
        <w:rPr>
          <w:rFonts w:ascii="Arial" w:hAnsi="Arial"/>
          <w:b/>
          <w:bCs/>
        </w:rPr>
        <w:t>-</w:t>
      </w:r>
    </w:p>
    <w:p w14:paraId="7C151807" w14:textId="77777777" w:rsidR="008C0577" w:rsidRDefault="00000000">
      <w:pPr>
        <w:pStyle w:val="DomylneA"/>
        <w:spacing w:before="0" w:line="240" w:lineRule="auto"/>
        <w:rPr>
          <w:rStyle w:val="Brak"/>
          <w:rFonts w:ascii="Arial" w:eastAsia="Arial" w:hAnsi="Arial" w:cs="Arial"/>
          <w:sz w:val="18"/>
          <w:szCs w:val="18"/>
        </w:rPr>
      </w:pPr>
      <w:hyperlink r:id="rId7" w:history="1">
        <w:r w:rsidR="00C41302">
          <w:rPr>
            <w:rStyle w:val="Hyperlink0"/>
          </w:rPr>
          <w:t>www.bcc.pl</w:t>
        </w:r>
      </w:hyperlink>
    </w:p>
    <w:p w14:paraId="5047CA37" w14:textId="77777777" w:rsidR="008C0577" w:rsidRDefault="008C0577">
      <w:pPr>
        <w:pStyle w:val="DomylneA"/>
        <w:spacing w:before="0" w:line="240" w:lineRule="auto"/>
        <w:rPr>
          <w:rStyle w:val="Brak"/>
          <w:rFonts w:ascii="Arial" w:eastAsia="Arial" w:hAnsi="Arial" w:cs="Arial"/>
          <w:sz w:val="18"/>
          <w:szCs w:val="18"/>
        </w:rPr>
      </w:pPr>
    </w:p>
    <w:p w14:paraId="6D257B9E" w14:textId="77777777" w:rsidR="008C0577" w:rsidRDefault="00C41302">
      <w:pPr>
        <w:pStyle w:val="DomylneA"/>
        <w:spacing w:before="0" w:line="240" w:lineRule="auto"/>
        <w:rPr>
          <w:rStyle w:val="Brak"/>
          <w:rFonts w:ascii="Arial" w:eastAsia="Arial" w:hAnsi="Arial" w:cs="Arial"/>
          <w:b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>BCC to największa w kraju ustawowa organizacja indywidualnych pracodawc</w:t>
      </w:r>
      <w:r>
        <w:rPr>
          <w:rStyle w:val="Brak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>w. Członkowie Klubu zatrudniają ponad 400 tys. pracownik</w:t>
      </w:r>
      <w:r>
        <w:rPr>
          <w:rStyle w:val="Brak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>w, przychody firm to ponad 200 miliard</w:t>
      </w:r>
      <w:r>
        <w:rPr>
          <w:rStyle w:val="Brak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</w:t>
      </w:r>
      <w:r>
        <w:rPr>
          <w:rStyle w:val="Brak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 xml:space="preserve">w są także prawnicy, dziennikarze, naukowcy, wydawcy, lekarze, wojskowi i studenci. </w:t>
      </w:r>
    </w:p>
    <w:p w14:paraId="52043BDB" w14:textId="77777777" w:rsidR="008C0577" w:rsidRDefault="008C0577">
      <w:pPr>
        <w:pStyle w:val="DomylneA"/>
        <w:spacing w:before="0" w:line="240" w:lineRule="auto"/>
        <w:rPr>
          <w:rStyle w:val="Brak"/>
          <w:rFonts w:ascii="Arial" w:eastAsia="Arial" w:hAnsi="Arial" w:cs="Arial"/>
          <w:b/>
          <w:bCs/>
          <w:sz w:val="18"/>
          <w:szCs w:val="18"/>
        </w:rPr>
      </w:pPr>
    </w:p>
    <w:p w14:paraId="07792A49" w14:textId="77777777" w:rsidR="008C0577" w:rsidRDefault="00C41302">
      <w:pPr>
        <w:pStyle w:val="DomylneA"/>
        <w:spacing w:before="0" w:line="240" w:lineRule="auto"/>
        <w:rPr>
          <w:rStyle w:val="Brak"/>
          <w:rFonts w:ascii="Arial" w:eastAsia="Arial" w:hAnsi="Arial" w:cs="Arial"/>
          <w:b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 xml:space="preserve">Business Centre Club w mediach społecznościowych: </w:t>
      </w:r>
    </w:p>
    <w:p w14:paraId="4E57F14F" w14:textId="77777777" w:rsidR="008C0577" w:rsidRPr="00C41302" w:rsidRDefault="00C41302">
      <w:pPr>
        <w:pStyle w:val="DomylneA"/>
        <w:spacing w:before="0" w:line="240" w:lineRule="auto"/>
        <w:rPr>
          <w:rStyle w:val="Brak"/>
          <w:rFonts w:ascii="Arial" w:eastAsia="Arial" w:hAnsi="Arial" w:cs="Arial"/>
          <w:sz w:val="18"/>
          <w:szCs w:val="18"/>
          <w:lang w:val="en-GB"/>
        </w:rPr>
      </w:pPr>
      <w:r>
        <w:rPr>
          <w:rStyle w:val="Brak"/>
          <w:rFonts w:ascii="Arial" w:hAnsi="Arial"/>
          <w:sz w:val="18"/>
          <w:szCs w:val="18"/>
          <w:lang w:val="en-US"/>
        </w:rPr>
        <w:t xml:space="preserve">LinkedIn: www.linkedin.com/company/business-centre-club/ </w:t>
      </w:r>
    </w:p>
    <w:p w14:paraId="1ED145C8" w14:textId="77777777" w:rsidR="008C0577" w:rsidRPr="00C41302" w:rsidRDefault="00C41302">
      <w:pPr>
        <w:pStyle w:val="DomylneA"/>
        <w:spacing w:before="0" w:line="240" w:lineRule="auto"/>
        <w:rPr>
          <w:rStyle w:val="Brak"/>
          <w:rFonts w:ascii="Arial" w:eastAsia="Arial" w:hAnsi="Arial" w:cs="Arial"/>
          <w:sz w:val="18"/>
          <w:szCs w:val="18"/>
          <w:lang w:val="en-GB"/>
        </w:rPr>
      </w:pPr>
      <w:r>
        <w:rPr>
          <w:rStyle w:val="Brak"/>
          <w:rFonts w:ascii="Arial" w:hAnsi="Arial"/>
          <w:sz w:val="18"/>
          <w:szCs w:val="18"/>
          <w:lang w:val="it-IT"/>
        </w:rPr>
        <w:t xml:space="preserve">Facebook: www.facebook.com/businesscentreclub </w:t>
      </w:r>
    </w:p>
    <w:p w14:paraId="5D6EDA94" w14:textId="77777777" w:rsidR="008C0577" w:rsidRPr="00C41302" w:rsidRDefault="00C41302">
      <w:pPr>
        <w:pStyle w:val="DomylneA"/>
        <w:spacing w:before="0" w:line="240" w:lineRule="auto"/>
        <w:rPr>
          <w:rStyle w:val="Brak"/>
          <w:rFonts w:ascii="Arial" w:eastAsia="Arial" w:hAnsi="Arial" w:cs="Arial"/>
          <w:sz w:val="18"/>
          <w:szCs w:val="18"/>
          <w:lang w:val="en-GB"/>
        </w:rPr>
      </w:pPr>
      <w:r w:rsidRPr="00C41302">
        <w:rPr>
          <w:rStyle w:val="Brak"/>
          <w:rFonts w:ascii="Arial" w:hAnsi="Arial"/>
          <w:sz w:val="18"/>
          <w:szCs w:val="18"/>
          <w:lang w:val="en-GB"/>
        </w:rPr>
        <w:t>Twitter: www.twitt</w:t>
      </w:r>
      <w:r>
        <w:rPr>
          <w:rStyle w:val="Brak"/>
          <w:rFonts w:ascii="Arial" w:hAnsi="Arial"/>
          <w:sz w:val="18"/>
          <w:szCs w:val="18"/>
          <w:lang w:val="pt-PT"/>
        </w:rPr>
        <w:t xml:space="preserve">er.com/BCCorg </w:t>
      </w:r>
    </w:p>
    <w:p w14:paraId="00C44034" w14:textId="77777777" w:rsidR="008C0577" w:rsidRPr="00C41302" w:rsidRDefault="008C0577">
      <w:pPr>
        <w:pStyle w:val="DomylneA"/>
        <w:spacing w:before="0" w:line="240" w:lineRule="auto"/>
        <w:rPr>
          <w:rStyle w:val="Brak"/>
          <w:rFonts w:ascii="Arial" w:eastAsia="Arial" w:hAnsi="Arial" w:cs="Arial"/>
          <w:sz w:val="18"/>
          <w:szCs w:val="18"/>
          <w:lang w:val="en-GB"/>
        </w:rPr>
      </w:pPr>
    </w:p>
    <w:p w14:paraId="03DFB59B" w14:textId="77777777" w:rsidR="008C0577" w:rsidRDefault="00C41302">
      <w:pPr>
        <w:pStyle w:val="DomylneA"/>
        <w:spacing w:before="0" w:line="240" w:lineRule="auto"/>
      </w:pPr>
      <w:r>
        <w:rPr>
          <w:rStyle w:val="Brak"/>
          <w:rFonts w:ascii="Arial" w:hAnsi="Arial"/>
          <w:b/>
          <w:bCs/>
          <w:sz w:val="18"/>
          <w:szCs w:val="18"/>
        </w:rPr>
        <w:t xml:space="preserve">Informacji udzielają: agencja Open Minded Group: pr@openmindedgroup.pl oraz Renta Stefanowska (BCC) renata.stefanowska@bcc.pl </w:t>
      </w:r>
    </w:p>
    <w:sectPr w:rsidR="008C0577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8EC4" w14:textId="77777777" w:rsidR="004D5E14" w:rsidRDefault="004D5E14">
      <w:r>
        <w:separator/>
      </w:r>
    </w:p>
  </w:endnote>
  <w:endnote w:type="continuationSeparator" w:id="0">
    <w:p w14:paraId="7C59D524" w14:textId="77777777" w:rsidR="004D5E14" w:rsidRDefault="004D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37DF" w14:textId="77777777" w:rsidR="008C0577" w:rsidRDefault="008C057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BD86" w14:textId="77777777" w:rsidR="004D5E14" w:rsidRDefault="004D5E14">
      <w:r>
        <w:separator/>
      </w:r>
    </w:p>
  </w:footnote>
  <w:footnote w:type="continuationSeparator" w:id="0">
    <w:p w14:paraId="1ACA3237" w14:textId="77777777" w:rsidR="004D5E14" w:rsidRDefault="004D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7E0A" w14:textId="77777777" w:rsidR="008C0577" w:rsidRDefault="008C0577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77"/>
    <w:rsid w:val="000B38D6"/>
    <w:rsid w:val="001B1ADA"/>
    <w:rsid w:val="00290998"/>
    <w:rsid w:val="00342A2B"/>
    <w:rsid w:val="004D5E14"/>
    <w:rsid w:val="00565E31"/>
    <w:rsid w:val="00573499"/>
    <w:rsid w:val="005741B5"/>
    <w:rsid w:val="005E4398"/>
    <w:rsid w:val="00665092"/>
    <w:rsid w:val="006A7058"/>
    <w:rsid w:val="007A3999"/>
    <w:rsid w:val="007C3D88"/>
    <w:rsid w:val="008C0577"/>
    <w:rsid w:val="009247B8"/>
    <w:rsid w:val="009F08AA"/>
    <w:rsid w:val="00C41302"/>
    <w:rsid w:val="00CE6353"/>
    <w:rsid w:val="00DC091C"/>
    <w:rsid w:val="00ED2A0C"/>
    <w:rsid w:val="00F4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8B0D"/>
  <w15:docId w15:val="{5AF833BF-E3DD-4BF5-A700-14D47FED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B">
    <w:name w:val="Treść B"/>
    <w:pPr>
      <w:spacing w:line="360" w:lineRule="auto"/>
      <w:jc w:val="both"/>
    </w:pPr>
    <w:rPr>
      <w:rFonts w:ascii="Arial" w:hAnsi="Arial" w:cs="Arial Unicode MS"/>
      <w:b/>
      <w:bCs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b/>
      <w:bCs/>
      <w:outline w:val="0"/>
      <w:color w:val="0000FF"/>
      <w:sz w:val="18"/>
      <w:szCs w:val="18"/>
      <w:u w:val="single" w:color="0000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9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999"/>
    <w:rPr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99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13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1302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30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cc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Stefanowska Renata</dc:creator>
  <cp:lastModifiedBy>Rybińska–Fliszkiewicz Joanna</cp:lastModifiedBy>
  <cp:revision>2</cp:revision>
  <dcterms:created xsi:type="dcterms:W3CDTF">2023-05-25T10:49:00Z</dcterms:created>
  <dcterms:modified xsi:type="dcterms:W3CDTF">2023-05-25T10:49:00Z</dcterms:modified>
</cp:coreProperties>
</file>