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40" w:rsidRPr="00307B10" w:rsidRDefault="004116ED" w:rsidP="00A25195">
      <w:pPr>
        <w:spacing w:after="0"/>
        <w:jc w:val="center"/>
        <w:rPr>
          <w:rFonts w:ascii="Garamond" w:hAnsi="Garamond"/>
          <w:sz w:val="24"/>
          <w:szCs w:val="24"/>
        </w:rPr>
      </w:pPr>
      <w:r w:rsidRPr="00307B10">
        <w:rPr>
          <w:rFonts w:ascii="Garamond" w:hAnsi="Garamond"/>
          <w:sz w:val="24"/>
          <w:szCs w:val="24"/>
        </w:rPr>
        <w:t>Opinia</w:t>
      </w:r>
    </w:p>
    <w:p w:rsidR="00697A40" w:rsidRPr="00307B10" w:rsidRDefault="004116ED" w:rsidP="00A25195">
      <w:pPr>
        <w:spacing w:after="0"/>
        <w:jc w:val="center"/>
        <w:rPr>
          <w:rFonts w:ascii="Garamond" w:hAnsi="Garamond"/>
          <w:sz w:val="24"/>
          <w:szCs w:val="24"/>
        </w:rPr>
      </w:pPr>
      <w:r w:rsidRPr="00307B10">
        <w:rPr>
          <w:rFonts w:ascii="Garamond" w:hAnsi="Garamond"/>
          <w:sz w:val="24"/>
          <w:szCs w:val="24"/>
        </w:rPr>
        <w:t xml:space="preserve"> do projektu ustawy o zmianie ustawy – </w:t>
      </w:r>
      <w:r w:rsidR="00250E1D" w:rsidRPr="00307B10">
        <w:rPr>
          <w:rFonts w:ascii="Garamond" w:hAnsi="Garamond"/>
          <w:sz w:val="24"/>
          <w:szCs w:val="24"/>
        </w:rPr>
        <w:t xml:space="preserve">Kodeks karny </w:t>
      </w:r>
    </w:p>
    <w:p w:rsidR="006E4695" w:rsidRPr="00307B10" w:rsidRDefault="00250E1D" w:rsidP="00A25195">
      <w:pPr>
        <w:spacing w:after="0"/>
        <w:jc w:val="center"/>
        <w:rPr>
          <w:rFonts w:ascii="Garamond" w:hAnsi="Garamond"/>
          <w:sz w:val="24"/>
          <w:szCs w:val="24"/>
        </w:rPr>
      </w:pPr>
      <w:r w:rsidRPr="00307B10">
        <w:rPr>
          <w:rFonts w:ascii="Garamond" w:hAnsi="Garamond"/>
          <w:sz w:val="24"/>
          <w:szCs w:val="24"/>
        </w:rPr>
        <w:t>oraz ustawy- Prawo o ruchu drogowym</w:t>
      </w:r>
    </w:p>
    <w:p w:rsidR="00F14942" w:rsidRPr="00307B10" w:rsidRDefault="00F14942" w:rsidP="00A25195">
      <w:pPr>
        <w:spacing w:after="0"/>
        <w:ind w:firstLine="709"/>
        <w:jc w:val="both"/>
        <w:rPr>
          <w:rFonts w:ascii="Garamond" w:hAnsi="Garamond"/>
          <w:sz w:val="24"/>
          <w:szCs w:val="24"/>
        </w:rPr>
      </w:pPr>
    </w:p>
    <w:p w:rsidR="00F14942" w:rsidRPr="00307B10" w:rsidRDefault="00D12F17" w:rsidP="00A25195">
      <w:pPr>
        <w:spacing w:after="0"/>
        <w:ind w:firstLine="709"/>
        <w:jc w:val="both"/>
        <w:rPr>
          <w:rFonts w:ascii="Garamond" w:hAnsi="Garamond"/>
          <w:sz w:val="24"/>
          <w:szCs w:val="24"/>
        </w:rPr>
      </w:pPr>
      <w:r w:rsidRPr="00307B10">
        <w:rPr>
          <w:rFonts w:ascii="Garamond" w:hAnsi="Garamond"/>
          <w:sz w:val="24"/>
          <w:szCs w:val="24"/>
        </w:rPr>
        <w:t xml:space="preserve">Niniejsza opinia dotyczy projektu z dnia </w:t>
      </w:r>
      <w:r w:rsidR="00250E1D" w:rsidRPr="00307B10">
        <w:rPr>
          <w:rFonts w:ascii="Garamond" w:hAnsi="Garamond"/>
          <w:sz w:val="24"/>
          <w:szCs w:val="24"/>
        </w:rPr>
        <w:t>7 grudnia</w:t>
      </w:r>
      <w:r w:rsidRPr="00307B10">
        <w:rPr>
          <w:rFonts w:ascii="Garamond" w:hAnsi="Garamond"/>
          <w:sz w:val="24"/>
          <w:szCs w:val="24"/>
        </w:rPr>
        <w:t xml:space="preserve"> 2017 r. ustawy o zmianie ustawy – </w:t>
      </w:r>
      <w:r w:rsidR="00250E1D" w:rsidRPr="00307B10">
        <w:rPr>
          <w:rFonts w:ascii="Garamond" w:hAnsi="Garamond"/>
          <w:sz w:val="24"/>
          <w:szCs w:val="24"/>
        </w:rPr>
        <w:t>Kodeks karny oraz ustawy- Prawo o ruchu drogowym</w:t>
      </w:r>
      <w:r w:rsidR="000A0F3A" w:rsidRPr="00307B10">
        <w:rPr>
          <w:rFonts w:ascii="Garamond" w:hAnsi="Garamond"/>
          <w:sz w:val="24"/>
          <w:szCs w:val="24"/>
        </w:rPr>
        <w:t xml:space="preserve">. </w:t>
      </w:r>
    </w:p>
    <w:p w:rsidR="00697A40" w:rsidRPr="00307B10" w:rsidRDefault="00697A40" w:rsidP="00A25195">
      <w:pPr>
        <w:spacing w:after="0"/>
        <w:ind w:firstLine="709"/>
        <w:jc w:val="both"/>
        <w:rPr>
          <w:rFonts w:ascii="Garamond" w:hAnsi="Garamond"/>
          <w:sz w:val="24"/>
          <w:szCs w:val="24"/>
        </w:rPr>
      </w:pPr>
    </w:p>
    <w:p w:rsidR="003A690B" w:rsidRPr="00307B10" w:rsidRDefault="003A690B" w:rsidP="00A25195">
      <w:pPr>
        <w:pStyle w:val="ARTartustawynprozporzdzenia"/>
        <w:spacing w:line="276" w:lineRule="auto"/>
        <w:ind w:firstLine="709"/>
        <w:rPr>
          <w:rFonts w:ascii="Garamond" w:hAnsi="Garamond"/>
          <w:szCs w:val="24"/>
        </w:rPr>
      </w:pPr>
      <w:r w:rsidRPr="00307B10">
        <w:rPr>
          <w:rFonts w:ascii="Garamond" w:hAnsi="Garamond"/>
          <w:szCs w:val="24"/>
        </w:rPr>
        <w:t xml:space="preserve">W pierwszej kolejności </w:t>
      </w:r>
      <w:r w:rsidR="00697A40" w:rsidRPr="00307B10">
        <w:rPr>
          <w:rFonts w:ascii="Garamond" w:hAnsi="Garamond"/>
          <w:szCs w:val="24"/>
        </w:rPr>
        <w:t xml:space="preserve">zauważenia </w:t>
      </w:r>
      <w:r w:rsidRPr="00307B10">
        <w:rPr>
          <w:rFonts w:ascii="Garamond" w:hAnsi="Garamond"/>
          <w:szCs w:val="24"/>
        </w:rPr>
        <w:t xml:space="preserve">wymaga, że projekt z dnia 7 grudnia 2017 r. ustawy o zmianie ustawy – Kodeks karny oraz ustawy- Prawo o ruchu drogowym realizuje dyrektywę Parlamentu Europejskiego i Rady 2014/45UE z dnia 3 kwietnia 2014 r. </w:t>
      </w:r>
      <w:r w:rsidRPr="00307B10">
        <w:rPr>
          <w:rStyle w:val="Kkursywa"/>
          <w:rFonts w:ascii="Garamond" w:hAnsi="Garamond"/>
          <w:i w:val="0"/>
          <w:szCs w:val="24"/>
        </w:rPr>
        <w:t>w sprawie okresowych badań zdatności do ruchu drogowego pojazdów silnikowych i ich przyczep oraz uchylająca dyrektywę 2009/40/WE</w:t>
      </w:r>
      <w:r w:rsidRPr="00307B10">
        <w:rPr>
          <w:rFonts w:ascii="Garamond" w:hAnsi="Garamond"/>
          <w:i/>
          <w:szCs w:val="24"/>
        </w:rPr>
        <w:t>,</w:t>
      </w:r>
      <w:r w:rsidRPr="00307B10">
        <w:rPr>
          <w:rFonts w:ascii="Garamond" w:hAnsi="Garamond"/>
          <w:szCs w:val="24"/>
        </w:rPr>
        <w:t xml:space="preserve"> która w motywie 25 stwierdza, że „</w:t>
      </w:r>
      <w:r w:rsidR="00CD16A5" w:rsidRPr="00307B10">
        <w:rPr>
          <w:rFonts w:ascii="Garamond" w:hAnsi="Garamond" w:cs="EUAlbertina"/>
          <w:color w:val="000000"/>
          <w:szCs w:val="24"/>
        </w:rPr>
        <w:t>Oszustwo polegające na fałszowaniu przebiegu powinno być traktowane jako przestępstwo podlegające sankcji, ponieważ manipulacja przebiegiem może prowadzić do błędnej oceny stanu zdatności do ruchu drogowego pojazdu. Wykrywanie manipulacji lub ingerencji w stan licznika powinno być łatwiejsze dzięki rejestrowaniu przebiegu w świadectwie zdatności do ruchu drogowego oraz dostępowi diagnostów do tych informacji. Komisja powinna przeanalizować kwestię wymiany informacji o wskazaniach drogomierza między właściwymi organami państw członkowskich</w:t>
      </w:r>
      <w:r w:rsidRPr="00307B10">
        <w:rPr>
          <w:rFonts w:ascii="Garamond" w:hAnsi="Garamond"/>
          <w:szCs w:val="24"/>
        </w:rPr>
        <w:t>”.</w:t>
      </w:r>
    </w:p>
    <w:p w:rsidR="00697A40" w:rsidRPr="00307B10" w:rsidRDefault="00697A40" w:rsidP="00A25195">
      <w:pPr>
        <w:pStyle w:val="ARTartustawynprozporzdzenia"/>
        <w:spacing w:line="276" w:lineRule="auto"/>
        <w:ind w:firstLine="709"/>
        <w:rPr>
          <w:rFonts w:ascii="Garamond" w:hAnsi="Garamond"/>
          <w:szCs w:val="24"/>
        </w:rPr>
      </w:pPr>
    </w:p>
    <w:p w:rsidR="003C55AD" w:rsidRPr="00307B10" w:rsidRDefault="000A0F3A" w:rsidP="00A25195">
      <w:pPr>
        <w:pStyle w:val="ZARTzmartartykuempunktem"/>
        <w:spacing w:line="276" w:lineRule="auto"/>
        <w:ind w:left="0" w:firstLine="709"/>
        <w:rPr>
          <w:rFonts w:ascii="Garamond" w:hAnsi="Garamond"/>
          <w:szCs w:val="24"/>
          <w:shd w:val="clear" w:color="auto" w:fill="FFFFFF"/>
        </w:rPr>
      </w:pPr>
      <w:r w:rsidRPr="00307B10">
        <w:rPr>
          <w:rFonts w:ascii="Garamond" w:hAnsi="Garamond"/>
          <w:szCs w:val="24"/>
          <w:shd w:val="clear" w:color="auto" w:fill="FFFFFF"/>
        </w:rPr>
        <w:t xml:space="preserve">Wprowadzenie do Kodeksu karnego nowego typu </w:t>
      </w:r>
      <w:r w:rsidR="00640E13" w:rsidRPr="00307B10">
        <w:rPr>
          <w:rFonts w:ascii="Garamond" w:hAnsi="Garamond"/>
          <w:szCs w:val="24"/>
          <w:shd w:val="clear" w:color="auto" w:fill="FFFFFF"/>
        </w:rPr>
        <w:t>przestępstw</w:t>
      </w:r>
      <w:r w:rsidR="000867C9" w:rsidRPr="00307B10">
        <w:rPr>
          <w:rFonts w:ascii="Garamond" w:hAnsi="Garamond"/>
          <w:szCs w:val="24"/>
          <w:shd w:val="clear" w:color="auto" w:fill="FFFFFF"/>
        </w:rPr>
        <w:t>a</w:t>
      </w:r>
      <w:r w:rsidR="00640E13" w:rsidRPr="00307B10">
        <w:rPr>
          <w:rFonts w:ascii="Garamond" w:hAnsi="Garamond"/>
          <w:szCs w:val="24"/>
          <w:shd w:val="clear" w:color="auto" w:fill="FFFFFF"/>
        </w:rPr>
        <w:t xml:space="preserve"> należy postrzegać pozytywnie. </w:t>
      </w:r>
      <w:r w:rsidR="00F20F53" w:rsidRPr="00307B10">
        <w:rPr>
          <w:rFonts w:ascii="Garamond" w:hAnsi="Garamond"/>
          <w:szCs w:val="24"/>
          <w:shd w:val="clear" w:color="auto" w:fill="FFFFFF"/>
        </w:rPr>
        <w:t xml:space="preserve">Przestępstwa związane z cofaniem licznika przebiegu pojazdu mechanicznego są obecnie zbyt powszechne i nie ma dla nich przyzwolenia społecznego, co powinno znaleźć odzwierciedlenie w przepisach prawnych. </w:t>
      </w:r>
      <w:r w:rsidR="000867C9" w:rsidRPr="00307B10">
        <w:rPr>
          <w:rFonts w:ascii="Garamond" w:hAnsi="Garamond"/>
          <w:szCs w:val="24"/>
          <w:shd w:val="clear" w:color="auto" w:fill="FFFFFF"/>
        </w:rPr>
        <w:t>Obecnie</w:t>
      </w:r>
      <w:r w:rsidR="00640E13" w:rsidRPr="00307B10">
        <w:rPr>
          <w:rFonts w:ascii="Garamond" w:hAnsi="Garamond"/>
          <w:szCs w:val="24"/>
          <w:shd w:val="clear" w:color="auto" w:fill="FFFFFF"/>
        </w:rPr>
        <w:t xml:space="preserve"> </w:t>
      </w:r>
      <w:r w:rsidR="000867C9" w:rsidRPr="00307B10">
        <w:rPr>
          <w:rFonts w:ascii="Garamond" w:hAnsi="Garamond"/>
          <w:szCs w:val="24"/>
          <w:shd w:val="clear" w:color="auto" w:fill="FFFFFF"/>
        </w:rPr>
        <w:t>ingerowanie</w:t>
      </w:r>
      <w:r w:rsidR="00640E13" w:rsidRPr="00307B10">
        <w:rPr>
          <w:rFonts w:ascii="Garamond" w:hAnsi="Garamond"/>
          <w:szCs w:val="24"/>
          <w:shd w:val="clear" w:color="auto" w:fill="FFFFFF"/>
        </w:rPr>
        <w:t xml:space="preserve"> w licznik przebiegu pojazdu</w:t>
      </w:r>
      <w:r w:rsidR="00D1667A" w:rsidRPr="00307B10">
        <w:rPr>
          <w:rFonts w:ascii="Garamond" w:hAnsi="Garamond"/>
          <w:szCs w:val="24"/>
          <w:shd w:val="clear" w:color="auto" w:fill="FFFFFF"/>
        </w:rPr>
        <w:t xml:space="preserve"> mechanicznego</w:t>
      </w:r>
      <w:r w:rsidR="000867C9" w:rsidRPr="00307B10">
        <w:rPr>
          <w:rFonts w:ascii="Garamond" w:hAnsi="Garamond"/>
          <w:szCs w:val="24"/>
          <w:shd w:val="clear" w:color="auto" w:fill="FFFFFF"/>
        </w:rPr>
        <w:t xml:space="preserve"> nie </w:t>
      </w:r>
      <w:r w:rsidR="000628E2" w:rsidRPr="00307B10">
        <w:rPr>
          <w:rFonts w:ascii="Garamond" w:hAnsi="Garamond"/>
          <w:szCs w:val="24"/>
          <w:shd w:val="clear" w:color="auto" w:fill="FFFFFF"/>
        </w:rPr>
        <w:t>jest</w:t>
      </w:r>
      <w:r w:rsidR="000867C9" w:rsidRPr="00307B10">
        <w:rPr>
          <w:rFonts w:ascii="Garamond" w:hAnsi="Garamond"/>
          <w:szCs w:val="24"/>
          <w:shd w:val="clear" w:color="auto" w:fill="FFFFFF"/>
        </w:rPr>
        <w:t xml:space="preserve"> </w:t>
      </w:r>
      <w:r w:rsidR="003C55AD" w:rsidRPr="00307B10">
        <w:rPr>
          <w:rFonts w:ascii="Garamond" w:hAnsi="Garamond"/>
          <w:szCs w:val="24"/>
          <w:shd w:val="clear" w:color="auto" w:fill="FFFFFF"/>
        </w:rPr>
        <w:t>penalizowane</w:t>
      </w:r>
      <w:r w:rsidR="000867C9" w:rsidRPr="00307B10">
        <w:rPr>
          <w:rFonts w:ascii="Garamond" w:hAnsi="Garamond"/>
          <w:szCs w:val="24"/>
          <w:shd w:val="clear" w:color="auto" w:fill="FFFFFF"/>
        </w:rPr>
        <w:t>. Dopiero c</w:t>
      </w:r>
      <w:r w:rsidR="000867C9" w:rsidRPr="00307B10">
        <w:rPr>
          <w:rStyle w:val="Pogrubienie"/>
          <w:rFonts w:ascii="Garamond" w:hAnsi="Garamond"/>
          <w:b w:val="0"/>
          <w:szCs w:val="24"/>
          <w:shd w:val="clear" w:color="auto" w:fill="FFFFFF"/>
        </w:rPr>
        <w:t xml:space="preserve">ofnięcie licznika mające na celu </w:t>
      </w:r>
      <w:r w:rsidR="000628E2" w:rsidRPr="00307B10">
        <w:rPr>
          <w:rStyle w:val="Pogrubienie"/>
          <w:rFonts w:ascii="Garamond" w:hAnsi="Garamond"/>
          <w:b w:val="0"/>
          <w:szCs w:val="24"/>
          <w:shd w:val="clear" w:color="auto" w:fill="FFFFFF"/>
        </w:rPr>
        <w:t xml:space="preserve">uzyskanie wyższej ceny sprzedaży pojazdu mechanicznego poprzez </w:t>
      </w:r>
      <w:r w:rsidR="000867C9" w:rsidRPr="00307B10">
        <w:rPr>
          <w:rStyle w:val="Pogrubienie"/>
          <w:rFonts w:ascii="Garamond" w:hAnsi="Garamond"/>
          <w:b w:val="0"/>
          <w:szCs w:val="24"/>
          <w:shd w:val="clear" w:color="auto" w:fill="FFFFFF"/>
        </w:rPr>
        <w:t>wprowadzenie nabywcy w błąd co do jego rz</w:t>
      </w:r>
      <w:r w:rsidR="000628E2" w:rsidRPr="00307B10">
        <w:rPr>
          <w:rStyle w:val="Pogrubienie"/>
          <w:rFonts w:ascii="Garamond" w:hAnsi="Garamond"/>
          <w:b w:val="0"/>
          <w:szCs w:val="24"/>
          <w:shd w:val="clear" w:color="auto" w:fill="FFFFFF"/>
        </w:rPr>
        <w:t>eczywistego stanu technicznego</w:t>
      </w:r>
      <w:r w:rsidR="000867C9" w:rsidRPr="00307B10">
        <w:rPr>
          <w:rStyle w:val="Pogrubienie"/>
          <w:rFonts w:ascii="Garamond" w:hAnsi="Garamond"/>
          <w:b w:val="0"/>
          <w:szCs w:val="24"/>
          <w:shd w:val="clear" w:color="auto" w:fill="FFFFFF"/>
        </w:rPr>
        <w:t xml:space="preserve"> </w:t>
      </w:r>
      <w:r w:rsidR="00F20F53" w:rsidRPr="00307B10">
        <w:rPr>
          <w:rStyle w:val="Pogrubienie"/>
          <w:rFonts w:ascii="Garamond" w:hAnsi="Garamond"/>
          <w:b w:val="0"/>
          <w:szCs w:val="24"/>
          <w:shd w:val="clear" w:color="auto" w:fill="FFFFFF"/>
        </w:rPr>
        <w:t>wypełnia</w:t>
      </w:r>
      <w:r w:rsidR="000867C9" w:rsidRPr="00307B10">
        <w:rPr>
          <w:rStyle w:val="Pogrubienie"/>
          <w:rFonts w:ascii="Garamond" w:hAnsi="Garamond"/>
          <w:szCs w:val="24"/>
          <w:shd w:val="clear" w:color="auto" w:fill="FFFFFF"/>
        </w:rPr>
        <w:t xml:space="preserve"> </w:t>
      </w:r>
      <w:r w:rsidR="000867C9" w:rsidRPr="00307B10">
        <w:rPr>
          <w:rFonts w:ascii="Garamond" w:hAnsi="Garamond"/>
          <w:szCs w:val="24"/>
          <w:shd w:val="clear" w:color="auto" w:fill="FFFFFF"/>
        </w:rPr>
        <w:t>znamiona przestępstwa oszustwa stypizowanego w art. 286 Kodeksu karnego.</w:t>
      </w:r>
      <w:r w:rsidR="00640E13" w:rsidRPr="00307B10">
        <w:rPr>
          <w:rFonts w:ascii="Garamond" w:hAnsi="Garamond"/>
          <w:szCs w:val="24"/>
          <w:shd w:val="clear" w:color="auto" w:fill="FFFFFF"/>
        </w:rPr>
        <w:t xml:space="preserve"> </w:t>
      </w:r>
      <w:r w:rsidR="000628E2" w:rsidRPr="00307B10">
        <w:rPr>
          <w:rFonts w:ascii="Garamond" w:hAnsi="Garamond"/>
          <w:szCs w:val="24"/>
          <w:shd w:val="clear" w:color="auto" w:fill="FFFFFF"/>
        </w:rPr>
        <w:t xml:space="preserve">Przy czym </w:t>
      </w:r>
      <w:r w:rsidR="00A70BB6" w:rsidRPr="00307B10">
        <w:rPr>
          <w:rFonts w:ascii="Garamond" w:hAnsi="Garamond"/>
          <w:szCs w:val="24"/>
          <w:shd w:val="clear" w:color="auto" w:fill="FFFFFF"/>
        </w:rPr>
        <w:t>podkreślenia</w:t>
      </w:r>
      <w:r w:rsidR="000628E2" w:rsidRPr="00307B10">
        <w:rPr>
          <w:rFonts w:ascii="Garamond" w:hAnsi="Garamond"/>
          <w:szCs w:val="24"/>
          <w:shd w:val="clear" w:color="auto" w:fill="FFFFFF"/>
        </w:rPr>
        <w:t xml:space="preserve"> wymaga, że takie zachowania są</w:t>
      </w:r>
      <w:r w:rsidR="00C71C00" w:rsidRPr="00307B10">
        <w:rPr>
          <w:rFonts w:ascii="Garamond" w:hAnsi="Garamond"/>
          <w:szCs w:val="24"/>
          <w:shd w:val="clear" w:color="auto" w:fill="FFFFFF"/>
        </w:rPr>
        <w:t xml:space="preserve"> ciężkie do udowodnienia, głównie z uwagi na identyfikację sprawcy w sytuacji, gdy pojazd miał więcej niż jednego wł</w:t>
      </w:r>
      <w:r w:rsidR="000628E2" w:rsidRPr="00307B10">
        <w:rPr>
          <w:rFonts w:ascii="Garamond" w:hAnsi="Garamond"/>
          <w:szCs w:val="24"/>
          <w:shd w:val="clear" w:color="auto" w:fill="FFFFFF"/>
        </w:rPr>
        <w:t>aściciela. Organy ścigania mają</w:t>
      </w:r>
      <w:r w:rsidR="00C71C00" w:rsidRPr="00307B10">
        <w:rPr>
          <w:rFonts w:ascii="Garamond" w:hAnsi="Garamond"/>
          <w:szCs w:val="24"/>
          <w:shd w:val="clear" w:color="auto" w:fill="FFFFFF"/>
        </w:rPr>
        <w:t xml:space="preserve"> również problem z </w:t>
      </w:r>
      <w:r w:rsidR="002C44E6" w:rsidRPr="00307B10">
        <w:rPr>
          <w:rFonts w:ascii="Garamond" w:hAnsi="Garamond"/>
          <w:szCs w:val="24"/>
          <w:shd w:val="clear" w:color="auto" w:fill="FFFFFF"/>
        </w:rPr>
        <w:t>ustaleniem</w:t>
      </w:r>
      <w:r w:rsidR="00C71C00" w:rsidRPr="00307B10">
        <w:rPr>
          <w:rFonts w:ascii="Garamond" w:hAnsi="Garamond"/>
          <w:szCs w:val="24"/>
          <w:shd w:val="clear" w:color="auto" w:fill="FFFFFF"/>
        </w:rPr>
        <w:t xml:space="preserve"> czasu popełnienia takiego przestępstwa.</w:t>
      </w:r>
      <w:r w:rsidR="000628E2" w:rsidRPr="00307B10">
        <w:rPr>
          <w:rFonts w:ascii="Garamond" w:hAnsi="Garamond"/>
          <w:szCs w:val="24"/>
          <w:shd w:val="clear" w:color="auto" w:fill="FFFFFF"/>
        </w:rPr>
        <w:t xml:space="preserve"> </w:t>
      </w:r>
    </w:p>
    <w:p w:rsidR="003C55AD" w:rsidRPr="00307B10" w:rsidRDefault="003C55AD" w:rsidP="00A25195">
      <w:pPr>
        <w:pStyle w:val="ZARTzmartartykuempunktem"/>
        <w:spacing w:line="276" w:lineRule="auto"/>
        <w:ind w:left="0" w:firstLine="709"/>
        <w:rPr>
          <w:rFonts w:ascii="Garamond" w:hAnsi="Garamond"/>
          <w:szCs w:val="24"/>
          <w:shd w:val="clear" w:color="auto" w:fill="FFFFFF"/>
        </w:rPr>
      </w:pPr>
    </w:p>
    <w:p w:rsidR="001B2443" w:rsidRPr="00307B10" w:rsidRDefault="000628E2" w:rsidP="00A25195">
      <w:pPr>
        <w:pStyle w:val="ZARTzmartartykuempunktem"/>
        <w:spacing w:line="276" w:lineRule="auto"/>
        <w:ind w:left="0" w:firstLine="709"/>
        <w:rPr>
          <w:rFonts w:ascii="Garamond" w:hAnsi="Garamond"/>
          <w:szCs w:val="24"/>
        </w:rPr>
      </w:pPr>
      <w:r w:rsidRPr="00307B10">
        <w:rPr>
          <w:rFonts w:ascii="Garamond" w:hAnsi="Garamond"/>
          <w:szCs w:val="24"/>
          <w:shd w:val="clear" w:color="auto" w:fill="FFFFFF"/>
        </w:rPr>
        <w:t xml:space="preserve">Proponowany </w:t>
      </w:r>
      <w:r w:rsidR="00937A04" w:rsidRPr="00307B10">
        <w:rPr>
          <w:rFonts w:ascii="Garamond" w:hAnsi="Garamond"/>
          <w:szCs w:val="24"/>
          <w:shd w:val="clear" w:color="auto" w:fill="FFFFFF"/>
        </w:rPr>
        <w:t>art. 306</w:t>
      </w:r>
      <w:r w:rsidR="003C55AD" w:rsidRPr="00307B10">
        <w:rPr>
          <w:rFonts w:ascii="Garamond" w:hAnsi="Garamond"/>
          <w:szCs w:val="24"/>
          <w:shd w:val="clear" w:color="auto" w:fill="FFFFFF"/>
        </w:rPr>
        <w:t>a Kodeksu karnego</w:t>
      </w:r>
      <w:r w:rsidRPr="00307B10">
        <w:rPr>
          <w:rFonts w:ascii="Garamond" w:hAnsi="Garamond"/>
          <w:szCs w:val="24"/>
          <w:shd w:val="clear" w:color="auto" w:fill="FFFFFF"/>
        </w:rPr>
        <w:t xml:space="preserve"> jasno określa znamiona czynu zabronionego</w:t>
      </w:r>
      <w:r w:rsidR="00697A40" w:rsidRPr="00307B10">
        <w:rPr>
          <w:rFonts w:ascii="Garamond" w:hAnsi="Garamond"/>
          <w:szCs w:val="24"/>
          <w:shd w:val="clear" w:color="auto" w:fill="FFFFFF"/>
        </w:rPr>
        <w:t>, co jest niezwykle ważne dla prawidłowej interpretacji</w:t>
      </w:r>
      <w:r w:rsidRPr="00307B10">
        <w:rPr>
          <w:rFonts w:ascii="Garamond" w:hAnsi="Garamond"/>
          <w:szCs w:val="24"/>
          <w:shd w:val="clear" w:color="auto" w:fill="FFFFFF"/>
        </w:rPr>
        <w:t xml:space="preserve">. </w:t>
      </w:r>
      <w:r w:rsidR="00BC16F3" w:rsidRPr="00307B10">
        <w:rPr>
          <w:rFonts w:ascii="Garamond" w:hAnsi="Garamond"/>
          <w:szCs w:val="24"/>
        </w:rPr>
        <w:t xml:space="preserve">Projekt </w:t>
      </w:r>
      <w:r w:rsidR="003C55AD" w:rsidRPr="00307B10">
        <w:rPr>
          <w:rFonts w:ascii="Garamond" w:hAnsi="Garamond"/>
          <w:szCs w:val="24"/>
        </w:rPr>
        <w:t xml:space="preserve">przepisu </w:t>
      </w:r>
      <w:r w:rsidR="00BC16F3" w:rsidRPr="00307B10">
        <w:rPr>
          <w:rFonts w:ascii="Garamond" w:hAnsi="Garamond"/>
          <w:szCs w:val="24"/>
        </w:rPr>
        <w:t xml:space="preserve">wskazuje czyny zabronione: </w:t>
      </w:r>
    </w:p>
    <w:p w:rsidR="001B2443" w:rsidRPr="00307B10" w:rsidRDefault="00BC16F3" w:rsidP="001B2443">
      <w:pPr>
        <w:pStyle w:val="ZARTzmartartykuempunktem"/>
        <w:numPr>
          <w:ilvl w:val="0"/>
          <w:numId w:val="2"/>
        </w:numPr>
        <w:spacing w:line="276" w:lineRule="auto"/>
        <w:rPr>
          <w:rFonts w:ascii="Garamond" w:hAnsi="Garamond"/>
          <w:szCs w:val="24"/>
        </w:rPr>
      </w:pPr>
      <w:r w:rsidRPr="00307B10">
        <w:rPr>
          <w:rFonts w:ascii="Garamond" w:hAnsi="Garamond"/>
          <w:szCs w:val="24"/>
        </w:rPr>
        <w:t xml:space="preserve">zmiana wskazań stanu licznika przebiegu pojazdu mechanicznego; </w:t>
      </w:r>
    </w:p>
    <w:p w:rsidR="001B2443" w:rsidRPr="00307B10" w:rsidRDefault="00BC16F3" w:rsidP="001B2443">
      <w:pPr>
        <w:pStyle w:val="ZARTzmartartykuempunktem"/>
        <w:numPr>
          <w:ilvl w:val="0"/>
          <w:numId w:val="2"/>
        </w:numPr>
        <w:spacing w:line="276" w:lineRule="auto"/>
        <w:rPr>
          <w:rFonts w:ascii="Garamond" w:hAnsi="Garamond"/>
          <w:szCs w:val="24"/>
        </w:rPr>
      </w:pPr>
      <w:r w:rsidRPr="00307B10">
        <w:rPr>
          <w:rFonts w:ascii="Garamond" w:hAnsi="Garamond"/>
          <w:szCs w:val="24"/>
        </w:rPr>
        <w:t xml:space="preserve">ingerencja w prawidłowość pomiaru licznika przebiegu całkowitego pojazdu; </w:t>
      </w:r>
    </w:p>
    <w:p w:rsidR="001B2443" w:rsidRPr="00307B10" w:rsidRDefault="00BC16F3" w:rsidP="001B2443">
      <w:pPr>
        <w:pStyle w:val="ZARTzmartartykuempunktem"/>
        <w:numPr>
          <w:ilvl w:val="0"/>
          <w:numId w:val="2"/>
        </w:numPr>
        <w:spacing w:line="276" w:lineRule="auto"/>
        <w:rPr>
          <w:rFonts w:ascii="Garamond" w:hAnsi="Garamond"/>
          <w:szCs w:val="24"/>
        </w:rPr>
      </w:pPr>
      <w:r w:rsidRPr="00307B10">
        <w:rPr>
          <w:rFonts w:ascii="Garamond" w:hAnsi="Garamond"/>
          <w:szCs w:val="24"/>
        </w:rPr>
        <w:t>dokonanie wymiany licznika przebiegu całkowitego pojazdu wbrew przepisom ustawy;</w:t>
      </w:r>
    </w:p>
    <w:p w:rsidR="001B2443" w:rsidRPr="00307B10" w:rsidRDefault="00BC16F3" w:rsidP="001B2443">
      <w:pPr>
        <w:pStyle w:val="ZARTzmartartykuempunktem"/>
        <w:numPr>
          <w:ilvl w:val="0"/>
          <w:numId w:val="2"/>
        </w:numPr>
        <w:spacing w:line="276" w:lineRule="auto"/>
        <w:rPr>
          <w:rFonts w:ascii="Garamond" w:hAnsi="Garamond"/>
          <w:szCs w:val="24"/>
        </w:rPr>
      </w:pPr>
      <w:r w:rsidRPr="00307B10">
        <w:rPr>
          <w:rFonts w:ascii="Garamond" w:hAnsi="Garamond"/>
          <w:szCs w:val="24"/>
        </w:rPr>
        <w:t>niezawiadomienie stacji kontroli pojazdów o wymianie licznika</w:t>
      </w:r>
      <w:r w:rsidR="00937A04" w:rsidRPr="00307B10">
        <w:rPr>
          <w:rFonts w:ascii="Garamond" w:hAnsi="Garamond"/>
          <w:szCs w:val="24"/>
        </w:rPr>
        <w:t xml:space="preserve"> </w:t>
      </w:r>
      <w:r w:rsidR="00937A04" w:rsidRPr="00307B10">
        <w:rPr>
          <w:rFonts w:ascii="Garamond" w:hAnsi="Garamond"/>
          <w:szCs w:val="24"/>
        </w:rPr>
        <w:t>przebiegu całkowitego pojazdu</w:t>
      </w:r>
      <w:r w:rsidRPr="00307B10">
        <w:rPr>
          <w:rFonts w:ascii="Garamond" w:hAnsi="Garamond"/>
          <w:szCs w:val="24"/>
        </w:rPr>
        <w:t xml:space="preserve">; </w:t>
      </w:r>
    </w:p>
    <w:p w:rsidR="001B2443" w:rsidRPr="00307B10" w:rsidRDefault="00BC16F3" w:rsidP="001B2443">
      <w:pPr>
        <w:pStyle w:val="ZARTzmartartykuempunktem"/>
        <w:numPr>
          <w:ilvl w:val="0"/>
          <w:numId w:val="2"/>
        </w:numPr>
        <w:spacing w:line="276" w:lineRule="auto"/>
        <w:rPr>
          <w:rFonts w:ascii="Garamond" w:hAnsi="Garamond"/>
          <w:szCs w:val="24"/>
        </w:rPr>
      </w:pPr>
      <w:r w:rsidRPr="00307B10">
        <w:rPr>
          <w:rFonts w:ascii="Garamond" w:hAnsi="Garamond"/>
          <w:szCs w:val="24"/>
        </w:rPr>
        <w:t xml:space="preserve">nieprzedstawienie pojazdu w stacji kontroli w celu sprawdzenia, czy licznik, zgodnie ze swoim przeznaczeniem, odmierza przebieg pojazdu; </w:t>
      </w:r>
    </w:p>
    <w:p w:rsidR="001B2443" w:rsidRPr="00307B10" w:rsidRDefault="00BC16F3" w:rsidP="001B2443">
      <w:pPr>
        <w:pStyle w:val="ZARTzmartartykuempunktem"/>
        <w:numPr>
          <w:ilvl w:val="0"/>
          <w:numId w:val="2"/>
        </w:numPr>
        <w:spacing w:line="276" w:lineRule="auto"/>
        <w:rPr>
          <w:rFonts w:ascii="Garamond" w:hAnsi="Garamond"/>
          <w:szCs w:val="24"/>
        </w:rPr>
      </w:pPr>
      <w:r w:rsidRPr="00307B10">
        <w:rPr>
          <w:rFonts w:ascii="Garamond" w:hAnsi="Garamond"/>
          <w:szCs w:val="24"/>
        </w:rPr>
        <w:t xml:space="preserve">uniemożliwienie diagnoście dokonania odczytu wskazania wymienionego licznika wraz z jednostką miary. </w:t>
      </w:r>
    </w:p>
    <w:p w:rsidR="0074163D" w:rsidRPr="00307B10" w:rsidRDefault="00BC16F3" w:rsidP="00A25195">
      <w:pPr>
        <w:pStyle w:val="ZARTzmartartykuempunktem"/>
        <w:spacing w:line="276" w:lineRule="auto"/>
        <w:ind w:left="0" w:firstLine="709"/>
        <w:rPr>
          <w:rFonts w:ascii="Garamond" w:hAnsi="Garamond"/>
          <w:szCs w:val="24"/>
        </w:rPr>
      </w:pPr>
      <w:r w:rsidRPr="00307B10">
        <w:rPr>
          <w:rFonts w:ascii="Garamond" w:hAnsi="Garamond"/>
          <w:szCs w:val="24"/>
        </w:rPr>
        <w:lastRenderedPageBreak/>
        <w:t xml:space="preserve">Sprawcami czynów mogą być zarówno właściciel, czy posiadacz pojazdu (we wszystkich przypadkach), jak i osoba wykonująca usługę związaną z ingerencją w licznik (w przypadku trzech pierwszych czynów). </w:t>
      </w:r>
      <w:r w:rsidR="00F20F53" w:rsidRPr="00307B10">
        <w:rPr>
          <w:rFonts w:ascii="Garamond" w:hAnsi="Garamond"/>
          <w:szCs w:val="24"/>
          <w:shd w:val="clear" w:color="auto" w:fill="FFFFFF"/>
        </w:rPr>
        <w:t>Jednakże niepokojącym jest fakt, że w</w:t>
      </w:r>
      <w:r w:rsidR="000628E2" w:rsidRPr="00307B10">
        <w:rPr>
          <w:rFonts w:ascii="Garamond" w:hAnsi="Garamond"/>
          <w:szCs w:val="24"/>
          <w:shd w:val="clear" w:color="auto" w:fill="FFFFFF"/>
        </w:rPr>
        <w:t xml:space="preserve">prowadzona </w:t>
      </w:r>
      <w:r w:rsidR="00697A40" w:rsidRPr="00307B10">
        <w:rPr>
          <w:rFonts w:ascii="Garamond" w:hAnsi="Garamond"/>
          <w:szCs w:val="24"/>
          <w:shd w:val="clear" w:color="auto" w:fill="FFFFFF"/>
        </w:rPr>
        <w:t xml:space="preserve">w proponowanym art. </w:t>
      </w:r>
      <w:r w:rsidR="00697A40" w:rsidRPr="00307B10">
        <w:rPr>
          <w:rFonts w:ascii="Garamond" w:hAnsi="Garamond"/>
          <w:szCs w:val="24"/>
        </w:rPr>
        <w:t>art. 306a § 1 i 2 Kodeksu karnego</w:t>
      </w:r>
      <w:r w:rsidR="00697A40" w:rsidRPr="00307B10">
        <w:rPr>
          <w:rFonts w:ascii="Garamond" w:hAnsi="Garamond"/>
          <w:szCs w:val="24"/>
          <w:shd w:val="clear" w:color="auto" w:fill="FFFFFF"/>
        </w:rPr>
        <w:t xml:space="preserve"> </w:t>
      </w:r>
      <w:r w:rsidR="000628E2" w:rsidRPr="00307B10">
        <w:rPr>
          <w:rFonts w:ascii="Garamond" w:hAnsi="Garamond"/>
          <w:szCs w:val="24"/>
          <w:shd w:val="clear" w:color="auto" w:fill="FFFFFF"/>
        </w:rPr>
        <w:t>sankcja</w:t>
      </w:r>
      <w:r w:rsidR="00F20F53" w:rsidRPr="00307B10">
        <w:rPr>
          <w:rFonts w:ascii="Garamond" w:hAnsi="Garamond"/>
          <w:szCs w:val="24"/>
          <w:shd w:val="clear" w:color="auto" w:fill="FFFFFF"/>
        </w:rPr>
        <w:t xml:space="preserve"> jest tak samo wysoka dla osoby, która </w:t>
      </w:r>
      <w:r w:rsidR="001B2443" w:rsidRPr="00307B10">
        <w:rPr>
          <w:rFonts w:ascii="Garamond" w:hAnsi="Garamond"/>
          <w:szCs w:val="24"/>
        </w:rPr>
        <w:t>popełnia czyny opisane w punktach 1-3 powyżej</w:t>
      </w:r>
      <w:r w:rsidR="00F20F53" w:rsidRPr="00307B10">
        <w:rPr>
          <w:rFonts w:ascii="Garamond" w:hAnsi="Garamond"/>
          <w:szCs w:val="24"/>
        </w:rPr>
        <w:t>, jak też dla osoby która</w:t>
      </w:r>
      <w:r w:rsidR="001B2443" w:rsidRPr="00307B10">
        <w:rPr>
          <w:rFonts w:ascii="Garamond" w:hAnsi="Garamond"/>
          <w:szCs w:val="24"/>
          <w:shd w:val="clear" w:color="auto" w:fill="FFFFFF"/>
        </w:rPr>
        <w:t xml:space="preserve"> popełnia czyny stypizowane w punktach 4-6 powyżej. </w:t>
      </w:r>
      <w:r w:rsidR="0074163D" w:rsidRPr="00307B10">
        <w:rPr>
          <w:rFonts w:ascii="Garamond" w:hAnsi="Garamond"/>
          <w:szCs w:val="24"/>
        </w:rPr>
        <w:t xml:space="preserve">Zrównanie celowego działania zmierzającego do </w:t>
      </w:r>
      <w:r w:rsidRPr="00307B10">
        <w:rPr>
          <w:rFonts w:ascii="Garamond" w:hAnsi="Garamond"/>
          <w:szCs w:val="24"/>
        </w:rPr>
        <w:t>ingerencji w stan</w:t>
      </w:r>
      <w:r w:rsidR="0074163D" w:rsidRPr="00307B10">
        <w:rPr>
          <w:rFonts w:ascii="Garamond" w:hAnsi="Garamond"/>
          <w:szCs w:val="24"/>
        </w:rPr>
        <w:t xml:space="preserve"> licznika z brakiem wypełnienia administracyjnych obowiązków </w:t>
      </w:r>
      <w:r w:rsidR="002C44E6" w:rsidRPr="00307B10">
        <w:rPr>
          <w:rFonts w:ascii="Garamond" w:hAnsi="Garamond"/>
          <w:szCs w:val="24"/>
        </w:rPr>
        <w:t xml:space="preserve">przez </w:t>
      </w:r>
      <w:r w:rsidR="0074163D" w:rsidRPr="00307B10">
        <w:rPr>
          <w:rFonts w:ascii="Garamond" w:hAnsi="Garamond"/>
          <w:szCs w:val="24"/>
        </w:rPr>
        <w:t>właściciela</w:t>
      </w:r>
      <w:r w:rsidR="002C44E6" w:rsidRPr="00307B10">
        <w:rPr>
          <w:rFonts w:ascii="Garamond" w:hAnsi="Garamond"/>
          <w:szCs w:val="24"/>
        </w:rPr>
        <w:t xml:space="preserve"> czy posiadacza pojazdu</w:t>
      </w:r>
      <w:r w:rsidR="0074163D" w:rsidRPr="00307B10">
        <w:rPr>
          <w:rFonts w:ascii="Garamond" w:hAnsi="Garamond"/>
          <w:szCs w:val="24"/>
        </w:rPr>
        <w:t xml:space="preserve"> nie powinno mieć miejsca. Ustawodawca powinien zróżnicować te czyny zabronione, biorąc pod uwagę</w:t>
      </w:r>
      <w:r w:rsidR="002C44E6" w:rsidRPr="00307B10">
        <w:rPr>
          <w:rFonts w:ascii="Garamond" w:hAnsi="Garamond"/>
          <w:szCs w:val="24"/>
        </w:rPr>
        <w:t xml:space="preserve"> ich</w:t>
      </w:r>
      <w:r w:rsidR="0074163D" w:rsidRPr="00307B10">
        <w:rPr>
          <w:rFonts w:ascii="Garamond" w:hAnsi="Garamond"/>
          <w:szCs w:val="24"/>
        </w:rPr>
        <w:t xml:space="preserve"> szkodliwość</w:t>
      </w:r>
      <w:r w:rsidR="002C44E6" w:rsidRPr="00307B10">
        <w:rPr>
          <w:rFonts w:ascii="Garamond" w:hAnsi="Garamond"/>
          <w:szCs w:val="24"/>
        </w:rPr>
        <w:t xml:space="preserve"> oraz wagę</w:t>
      </w:r>
      <w:r w:rsidR="0074163D" w:rsidRPr="00307B10">
        <w:rPr>
          <w:rFonts w:ascii="Garamond" w:hAnsi="Garamond"/>
          <w:szCs w:val="24"/>
        </w:rPr>
        <w:t>. Czytając przepis karny t</w:t>
      </w:r>
      <w:r w:rsidR="002C44E6" w:rsidRPr="00307B10">
        <w:rPr>
          <w:rFonts w:ascii="Garamond" w:hAnsi="Garamond"/>
          <w:szCs w:val="24"/>
        </w:rPr>
        <w:t xml:space="preserve">rzeba mieć na uwadze, że </w:t>
      </w:r>
      <w:r w:rsidRPr="00307B10">
        <w:rPr>
          <w:rFonts w:ascii="Garamond" w:hAnsi="Garamond"/>
          <w:szCs w:val="24"/>
        </w:rPr>
        <w:t xml:space="preserve">proponowany </w:t>
      </w:r>
      <w:r w:rsidR="002C44E6" w:rsidRPr="00307B10">
        <w:rPr>
          <w:rFonts w:ascii="Garamond" w:hAnsi="Garamond"/>
          <w:szCs w:val="24"/>
        </w:rPr>
        <w:t>termin</w:t>
      </w:r>
      <w:r w:rsidR="0074163D" w:rsidRPr="00307B10">
        <w:rPr>
          <w:rFonts w:ascii="Garamond" w:hAnsi="Garamond"/>
          <w:szCs w:val="24"/>
        </w:rPr>
        <w:t xml:space="preserve"> na zawiadomienie </w:t>
      </w:r>
      <w:r w:rsidR="002C44E6" w:rsidRPr="00307B10">
        <w:rPr>
          <w:rFonts w:ascii="Garamond" w:hAnsi="Garamond"/>
          <w:szCs w:val="24"/>
        </w:rPr>
        <w:t xml:space="preserve">stacji kontroli pojazdów o wymianie licznika jest bardzo krótki. </w:t>
      </w:r>
      <w:r w:rsidR="0074163D" w:rsidRPr="00307B10">
        <w:rPr>
          <w:rFonts w:ascii="Garamond" w:hAnsi="Garamond"/>
          <w:szCs w:val="24"/>
          <w:shd w:val="clear" w:color="auto" w:fill="FFFFFF"/>
        </w:rPr>
        <w:t>Zgodnie z pro</w:t>
      </w:r>
      <w:r w:rsidRPr="00307B10">
        <w:rPr>
          <w:rFonts w:ascii="Garamond" w:hAnsi="Garamond"/>
          <w:szCs w:val="24"/>
          <w:shd w:val="clear" w:color="auto" w:fill="FFFFFF"/>
        </w:rPr>
        <w:t>jektem</w:t>
      </w:r>
      <w:r w:rsidR="0074163D" w:rsidRPr="00307B10">
        <w:rPr>
          <w:rFonts w:ascii="Garamond" w:hAnsi="Garamond"/>
          <w:szCs w:val="24"/>
          <w:shd w:val="clear" w:color="auto" w:fill="FFFFFF"/>
        </w:rPr>
        <w:t xml:space="preserve"> art. 81b ustawy – Prawo o ruchu drogowym </w:t>
      </w:r>
      <w:r w:rsidR="0074163D" w:rsidRPr="00307B10">
        <w:rPr>
          <w:rFonts w:ascii="Garamond" w:hAnsi="Garamond"/>
          <w:szCs w:val="24"/>
        </w:rPr>
        <w:t>właściciel lub posiadacz pojazdu samochodowego, ciągnika rolniczego, pojazdu wolnobieżnego, pojazdu wolnobieżnego wchodzącego w skład kolejki turystycznej lub motoroweru jest obowiązany zawiadomić pisemnie stację kontroli pojazdów o fakcie</w:t>
      </w:r>
      <w:r w:rsidR="002C44E6" w:rsidRPr="00307B10">
        <w:rPr>
          <w:rFonts w:ascii="Garamond" w:hAnsi="Garamond"/>
          <w:szCs w:val="24"/>
        </w:rPr>
        <w:t>, przyczynie i dacie wymiany tego licznika</w:t>
      </w:r>
      <w:r w:rsidR="0074163D" w:rsidRPr="00307B10">
        <w:rPr>
          <w:rFonts w:ascii="Garamond" w:hAnsi="Garamond"/>
          <w:szCs w:val="24"/>
        </w:rPr>
        <w:t xml:space="preserve"> najpóźniej w następnym dniu roboczym po dniu wymiany licznika przebiegu całkowitego.</w:t>
      </w:r>
      <w:r w:rsidR="002C44E6" w:rsidRPr="00307B10">
        <w:rPr>
          <w:rFonts w:ascii="Garamond" w:hAnsi="Garamond"/>
          <w:szCs w:val="24"/>
        </w:rPr>
        <w:t xml:space="preserve"> Niedopełnienie tego obowiązku w tak krótkim terminie wiązałoby się z popełnieniem przez właściciela lub posiadacza pojazdu przestępstwa zagrożonego karą pozbawienia wolności od 3 miesięcy do lat 5. </w:t>
      </w:r>
    </w:p>
    <w:p w:rsidR="00BC16F3" w:rsidRPr="00307B10" w:rsidRDefault="00BC16F3" w:rsidP="00A25195">
      <w:pPr>
        <w:pStyle w:val="ZARTzmartartykuempunktem"/>
        <w:spacing w:line="276" w:lineRule="auto"/>
        <w:ind w:left="0" w:firstLine="709"/>
        <w:rPr>
          <w:rFonts w:ascii="Garamond" w:hAnsi="Garamond"/>
          <w:szCs w:val="24"/>
        </w:rPr>
      </w:pPr>
    </w:p>
    <w:p w:rsidR="00BC16F3" w:rsidRPr="00307B10" w:rsidRDefault="00BC16F3" w:rsidP="00A25195">
      <w:pPr>
        <w:pStyle w:val="ZARTzmartartykuempunktem"/>
        <w:spacing w:line="276" w:lineRule="auto"/>
        <w:ind w:left="0" w:firstLine="709"/>
        <w:rPr>
          <w:rFonts w:ascii="Garamond" w:hAnsi="Garamond"/>
          <w:szCs w:val="24"/>
        </w:rPr>
      </w:pPr>
      <w:r w:rsidRPr="00307B10">
        <w:rPr>
          <w:rFonts w:ascii="Garamond" w:hAnsi="Garamond"/>
          <w:szCs w:val="24"/>
          <w:shd w:val="clear" w:color="auto" w:fill="FFFFFF"/>
        </w:rPr>
        <w:t>Zastanowienia wymaga również</w:t>
      </w:r>
      <w:r w:rsidR="005C6AC9" w:rsidRPr="00307B10">
        <w:rPr>
          <w:rFonts w:ascii="Garamond" w:hAnsi="Garamond"/>
          <w:szCs w:val="24"/>
          <w:shd w:val="clear" w:color="auto" w:fill="FFFFFF"/>
        </w:rPr>
        <w:t xml:space="preserve">, czy obowiązek zawiadamiania </w:t>
      </w:r>
      <w:r w:rsidR="005C6AC9" w:rsidRPr="00307B10">
        <w:rPr>
          <w:rFonts w:ascii="Garamond" w:hAnsi="Garamond"/>
          <w:szCs w:val="24"/>
        </w:rPr>
        <w:t>stacji kontroli pojazdów o wymianie licznika po tym zdarzeniu, oraz ustalanie przez diagnostę daty wymiany licznika przebiegu całkowitego pojazdu na podstawie pisemnego oświadczenia osoby będzie spełniało dostateczną funkcję ochronną przed nieuprawnionymi ingerencjami w stan licznika. Być może skuteczniejszym rozwiązaniem byłoby zgłaszanie zamiaru wymiany licznika</w:t>
      </w:r>
      <w:r w:rsidR="00190967" w:rsidRPr="00307B10">
        <w:rPr>
          <w:rFonts w:ascii="Garamond" w:hAnsi="Garamond"/>
          <w:szCs w:val="24"/>
        </w:rPr>
        <w:t>. Przy czym należy stwierdzić, że proponowany w art. 81b ust. 2 projektu obowiązek przedstawienia</w:t>
      </w:r>
      <w:r w:rsidR="001016B4" w:rsidRPr="00307B10">
        <w:rPr>
          <w:rFonts w:ascii="Garamond" w:hAnsi="Garamond"/>
          <w:szCs w:val="24"/>
        </w:rPr>
        <w:t xml:space="preserve"> pojazdu w stacji kontroli pojazdów w terminie 10 dni od daty wymiany licznika w celu sprawdzenia, czy licznik ten odmierza przebieg pojazdu w jednostkach miary właściwych dla tego rodzaju pojazdu oraz w celu dokonania odczytu wskazania tego licznika wraz z jednostką miary</w:t>
      </w:r>
      <w:r w:rsidR="00190967" w:rsidRPr="00307B10">
        <w:rPr>
          <w:rFonts w:ascii="Garamond" w:hAnsi="Garamond"/>
          <w:szCs w:val="24"/>
        </w:rPr>
        <w:t>, jest rozwiązaniem potrzebnym niezależnie od przyjętego sposobu zawiadamiania o wymianie licznika</w:t>
      </w:r>
      <w:r w:rsidR="005C6AC9" w:rsidRPr="00307B10">
        <w:rPr>
          <w:rFonts w:ascii="Garamond" w:hAnsi="Garamond"/>
          <w:szCs w:val="24"/>
        </w:rPr>
        <w:t xml:space="preserve">. </w:t>
      </w:r>
    </w:p>
    <w:p w:rsidR="00BC16F3" w:rsidRPr="00307B10" w:rsidRDefault="00BC16F3" w:rsidP="00A25195">
      <w:pPr>
        <w:pStyle w:val="ZARTzmartartykuempunktem"/>
        <w:spacing w:line="276" w:lineRule="auto"/>
        <w:ind w:left="0" w:firstLine="709"/>
        <w:rPr>
          <w:rFonts w:ascii="Garamond" w:hAnsi="Garamond"/>
          <w:szCs w:val="24"/>
        </w:rPr>
      </w:pPr>
    </w:p>
    <w:p w:rsidR="005C6AC9" w:rsidRPr="00307B10" w:rsidRDefault="005C6AC9" w:rsidP="00A25195">
      <w:pPr>
        <w:pStyle w:val="ZARTzmartartykuempunktem"/>
        <w:spacing w:line="276" w:lineRule="auto"/>
        <w:ind w:left="0" w:firstLine="709"/>
        <w:rPr>
          <w:rFonts w:ascii="Garamond" w:hAnsi="Garamond"/>
          <w:szCs w:val="24"/>
        </w:rPr>
      </w:pPr>
      <w:r w:rsidRPr="00307B10">
        <w:rPr>
          <w:rFonts w:ascii="Garamond" w:hAnsi="Garamond"/>
          <w:szCs w:val="24"/>
        </w:rPr>
        <w:t xml:space="preserve">Projekt zmiany ustawa- Prawo o ruchu drogowym przewiduje również, że wymiana licznika przebiegu całkowitego pojazdu jest dopuszczalna jedynie wówczas, gdy licznik nie odmierza przebiegu pojazdu w sytuacji, w której ze względu na jego przeznaczenie, powinien ten przebieg odmierzać. </w:t>
      </w:r>
      <w:r w:rsidR="00874625" w:rsidRPr="00307B10">
        <w:rPr>
          <w:rFonts w:ascii="Garamond" w:hAnsi="Garamond"/>
          <w:szCs w:val="24"/>
        </w:rPr>
        <w:t xml:space="preserve">Jest to rozwiązanie jak najbardziej słuszne, </w:t>
      </w:r>
      <w:r w:rsidR="001016B4" w:rsidRPr="00307B10">
        <w:rPr>
          <w:rFonts w:ascii="Garamond" w:hAnsi="Garamond"/>
          <w:szCs w:val="24"/>
        </w:rPr>
        <w:t>gdyż wyłącznie uszkodzenie licznika, uniemożliwiające jego prawidłowe działanie, uzasadnia konieczność wymiany licznika. Jednakże</w:t>
      </w:r>
      <w:r w:rsidR="00874625" w:rsidRPr="00307B10">
        <w:rPr>
          <w:rFonts w:ascii="Garamond" w:hAnsi="Garamond"/>
          <w:szCs w:val="24"/>
        </w:rPr>
        <w:t xml:space="preserve"> brak jest regulacji</w:t>
      </w:r>
      <w:r w:rsidR="00034312" w:rsidRPr="00307B10">
        <w:rPr>
          <w:rFonts w:ascii="Garamond" w:hAnsi="Garamond"/>
          <w:szCs w:val="24"/>
        </w:rPr>
        <w:t>,</w:t>
      </w:r>
      <w:r w:rsidR="00874625" w:rsidRPr="00307B10">
        <w:rPr>
          <w:rFonts w:ascii="Garamond" w:hAnsi="Garamond"/>
          <w:szCs w:val="24"/>
        </w:rPr>
        <w:t xml:space="preserve"> kto i w jaki sposób miałby stwierdzić, że wymiana licznika nastąpiła właśnie w takiej </w:t>
      </w:r>
      <w:r w:rsidR="001016B4" w:rsidRPr="00307B10">
        <w:rPr>
          <w:rFonts w:ascii="Garamond" w:hAnsi="Garamond"/>
          <w:szCs w:val="24"/>
        </w:rPr>
        <w:t xml:space="preserve">dopuszczonej prawem </w:t>
      </w:r>
      <w:r w:rsidR="00874625" w:rsidRPr="00307B10">
        <w:rPr>
          <w:rFonts w:ascii="Garamond" w:hAnsi="Garamond"/>
          <w:szCs w:val="24"/>
        </w:rPr>
        <w:t xml:space="preserve">sytuacji. Gdyby zawiadomienie o zamiarze wymiany licznika następowało przed planowaną datą wymiany, to wówczas </w:t>
      </w:r>
      <w:r w:rsidR="001016B4" w:rsidRPr="00307B10">
        <w:rPr>
          <w:rFonts w:ascii="Garamond" w:hAnsi="Garamond"/>
          <w:szCs w:val="24"/>
        </w:rPr>
        <w:t xml:space="preserve">przykładowo </w:t>
      </w:r>
      <w:r w:rsidR="00874625" w:rsidRPr="00307B10">
        <w:rPr>
          <w:rFonts w:ascii="Garamond" w:hAnsi="Garamond"/>
          <w:szCs w:val="24"/>
        </w:rPr>
        <w:t xml:space="preserve">stacja kontroli pojazdów mogłaby stwierdzić, czy jest konieczna wymiana licznika. Przy takim rozwiązaniu można byłoby wykluczyć próby wymiany liczników pod pozorem działania zgodnego z Ustawą. </w:t>
      </w:r>
      <w:r w:rsidR="00473F57" w:rsidRPr="00307B10">
        <w:rPr>
          <w:rFonts w:ascii="Garamond" w:hAnsi="Garamond"/>
          <w:szCs w:val="24"/>
        </w:rPr>
        <w:t xml:space="preserve">Natomiast brak elementu badania celowości wymiany licznika może doprowadzić do legalizacji działań przestępczych. </w:t>
      </w:r>
    </w:p>
    <w:p w:rsidR="00A70BB6" w:rsidRPr="00307B10" w:rsidRDefault="00A70BB6" w:rsidP="00A25195">
      <w:pPr>
        <w:pStyle w:val="ZARTzmartartykuempunktem"/>
        <w:spacing w:line="276" w:lineRule="auto"/>
        <w:ind w:left="0" w:firstLine="709"/>
        <w:rPr>
          <w:rFonts w:ascii="Garamond" w:hAnsi="Garamond"/>
          <w:szCs w:val="24"/>
        </w:rPr>
      </w:pPr>
    </w:p>
    <w:p w:rsidR="00A70BB6" w:rsidRPr="00307B10" w:rsidRDefault="00A70BB6" w:rsidP="00A25195">
      <w:pPr>
        <w:spacing w:after="0"/>
        <w:ind w:firstLine="709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307B10">
        <w:rPr>
          <w:rFonts w:ascii="Garamond" w:hAnsi="Garamond" w:cs="Arial"/>
          <w:sz w:val="24"/>
          <w:szCs w:val="24"/>
          <w:shd w:val="clear" w:color="auto" w:fill="FFFFFF"/>
        </w:rPr>
        <w:t xml:space="preserve">Projekt przewiduje, że przy każdej kontroli Policja, Straż Graniczna, Inspekcja Transportu Drogowego, Żandarmeria Wojskowa i służby celne będą miały obowiązek spisywania aktualnego stanu licznika kontrolowanego samochodu. Dane te będą trafiały do centralnej ewidencji </w:t>
      </w:r>
      <w:r w:rsidRPr="00307B10">
        <w:rPr>
          <w:rFonts w:ascii="Garamond" w:hAnsi="Garamond" w:cs="Arial"/>
          <w:sz w:val="24"/>
          <w:szCs w:val="24"/>
          <w:shd w:val="clear" w:color="auto" w:fill="FFFFFF"/>
        </w:rPr>
        <w:lastRenderedPageBreak/>
        <w:t>pojazdów. Zaznaczenia wymaga, że</w:t>
      </w:r>
      <w:r w:rsidRPr="00307B10">
        <w:rPr>
          <w:rFonts w:ascii="Garamond" w:hAnsi="Garamond"/>
          <w:sz w:val="24"/>
          <w:szCs w:val="24"/>
          <w:shd w:val="clear" w:color="auto" w:fill="FFFFFF"/>
        </w:rPr>
        <w:t xml:space="preserve"> będą spisywane liczniki nie tylko pojazdów zarejestrowanych w Polsce, ale także zarejestrowanych za granicą lub w ogóle nie zarejestrowanych. Uprawnione organy będą miały możliwość kontroli liczników pojazdów holowanych i przewożonych. Ustawodawca dąży do ewidencjonowania wszelkich pojazdów, w tym również tych, które są sprowadzane na rynek polski. Jest to rozwiązanie, które w znacznym stopniu przyczyni się do ograniczania procederu nieuprawnionego ingerowania w stan licznika, a przy tym jest rozwiązaniem możliwym do wprowadzenia i nie spowoduje utrudnień w działaniu organów uprawnionych. </w:t>
      </w:r>
    </w:p>
    <w:p w:rsidR="00A25195" w:rsidRPr="00307B10" w:rsidRDefault="00A25195" w:rsidP="00A25195">
      <w:pPr>
        <w:pStyle w:val="ARTartustawynprozporzdzenia"/>
        <w:spacing w:line="276" w:lineRule="auto"/>
        <w:rPr>
          <w:rFonts w:ascii="Garamond" w:hAnsi="Garamond"/>
          <w:szCs w:val="24"/>
        </w:rPr>
      </w:pPr>
      <w:r w:rsidRPr="00307B10">
        <w:rPr>
          <w:rFonts w:ascii="Garamond" w:hAnsi="Garamond"/>
          <w:szCs w:val="24"/>
        </w:rPr>
        <w:t xml:space="preserve">W projekcie (art. 81b ust. 6) przewidziano sankcję w postaci zatrzymania dowodu rejestracyjnego przez diagnostę w trzech przypadkach, tj. gdy: w wyniku sprawdzenia stwierdzono, że licznik nie odmierza przebiegu pojazdu w jednostkach miary właściwych dla tego rodzaju pojazdu; odczyt wskazania tego licznika wraz z jednostką miary nie jest możliwy; właściciel lub posiadacz pojazdu nie złożył pisemnego oświadczenia o dacie wymiany licznika przebiegu całkowitego pojazdu. Wprowadzenie takich sankcji jest celowe i ma na celu uniemożliwienie właścicielom i posiadaczom pojazdów uchylania się od dopełnienia nałożonych na nich obowiązków. </w:t>
      </w:r>
    </w:p>
    <w:p w:rsidR="00A25195" w:rsidRPr="00307B10" w:rsidRDefault="00A25195" w:rsidP="00A25195">
      <w:pPr>
        <w:pStyle w:val="ARTartustawynprozporzdzenia"/>
        <w:spacing w:line="276" w:lineRule="auto"/>
        <w:rPr>
          <w:rFonts w:ascii="Garamond" w:hAnsi="Garamond"/>
          <w:szCs w:val="24"/>
        </w:rPr>
      </w:pPr>
      <w:r w:rsidRPr="00307B10">
        <w:rPr>
          <w:rFonts w:ascii="Garamond" w:hAnsi="Garamond"/>
          <w:szCs w:val="24"/>
        </w:rPr>
        <w:t>Dla Stacji kontroli pojazdów w projekcie przewidziano nowy obowiązek, polegający na przekazaniu do centralnej ewidencji pojazdów danych o dacie wymiany licznika przebiegu całkowitego określonego w ustawie pojazdu i wskazaniu wymienionego licznika wraz z jednostką miary. Zmiana w tym zakresie dopełnia pozostałe proponowane</w:t>
      </w:r>
      <w:r w:rsidR="00AC5A87" w:rsidRPr="00307B10">
        <w:rPr>
          <w:rFonts w:ascii="Garamond" w:hAnsi="Garamond"/>
          <w:szCs w:val="24"/>
        </w:rPr>
        <w:t xml:space="preserve"> przepisy i ma na celu stworzenie historii pojazdu w zakresie jego przebiegu, co również przyczyni się do walki z przestępstwami w zakresie manipulacji stanów liczników.</w:t>
      </w:r>
    </w:p>
    <w:p w:rsidR="00A70BB6" w:rsidRPr="00307B10" w:rsidRDefault="00A70BB6" w:rsidP="00A25195">
      <w:pPr>
        <w:spacing w:after="0"/>
        <w:ind w:firstLine="709"/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:rsidR="00874625" w:rsidRDefault="00A70BB6" w:rsidP="00A25195">
      <w:pPr>
        <w:spacing w:after="0"/>
        <w:ind w:firstLine="709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307B10">
        <w:rPr>
          <w:rFonts w:ascii="Garamond" w:hAnsi="Garamond" w:cs="Arial"/>
          <w:sz w:val="24"/>
          <w:szCs w:val="24"/>
          <w:shd w:val="clear" w:color="auto" w:fill="FFFFFF"/>
        </w:rPr>
        <w:t xml:space="preserve">Planowane </w:t>
      </w:r>
      <w:r w:rsidR="00A25195" w:rsidRPr="00307B10">
        <w:rPr>
          <w:rFonts w:ascii="Garamond" w:hAnsi="Garamond" w:cs="Arial"/>
          <w:sz w:val="24"/>
          <w:szCs w:val="24"/>
          <w:shd w:val="clear" w:color="auto" w:fill="FFFFFF"/>
        </w:rPr>
        <w:t>z</w:t>
      </w:r>
      <w:r w:rsidR="00473F57" w:rsidRPr="00307B10">
        <w:rPr>
          <w:rFonts w:ascii="Garamond" w:hAnsi="Garamond" w:cs="Arial"/>
          <w:sz w:val="24"/>
          <w:szCs w:val="24"/>
          <w:shd w:val="clear" w:color="auto" w:fill="FFFFFF"/>
        </w:rPr>
        <w:t xml:space="preserve">miany należy ocenić pozytywnie, ponieważ </w:t>
      </w:r>
      <w:r w:rsidR="00874625" w:rsidRPr="00307B10">
        <w:rPr>
          <w:rFonts w:ascii="Garamond" w:hAnsi="Garamond" w:cs="Arial"/>
          <w:sz w:val="24"/>
          <w:szCs w:val="24"/>
          <w:shd w:val="clear" w:color="auto" w:fill="FFFFFF"/>
        </w:rPr>
        <w:t xml:space="preserve">zmiany w Kodeksie karnym w połączeniu ze zmianami w Prawie o ruchu drogowym tworzą całość, która daje </w:t>
      </w:r>
      <w:r w:rsidR="00473F57" w:rsidRPr="00307B10">
        <w:rPr>
          <w:rFonts w:ascii="Garamond" w:hAnsi="Garamond" w:cs="Arial"/>
          <w:sz w:val="24"/>
          <w:szCs w:val="24"/>
          <w:shd w:val="clear" w:color="auto" w:fill="FFFFFF"/>
        </w:rPr>
        <w:t>narzędzie do skuteczniejszego</w:t>
      </w:r>
      <w:r w:rsidR="00874625" w:rsidRPr="00307B10">
        <w:rPr>
          <w:rFonts w:ascii="Garamond" w:hAnsi="Garamond" w:cs="Arial"/>
          <w:sz w:val="24"/>
          <w:szCs w:val="24"/>
          <w:shd w:val="clear" w:color="auto" w:fill="FFFFFF"/>
        </w:rPr>
        <w:t xml:space="preserve"> ściągania </w:t>
      </w:r>
      <w:r w:rsidR="00473F57" w:rsidRPr="00307B10">
        <w:rPr>
          <w:rFonts w:ascii="Garamond" w:hAnsi="Garamond" w:cs="Arial"/>
          <w:sz w:val="24"/>
          <w:szCs w:val="24"/>
          <w:shd w:val="clear" w:color="auto" w:fill="FFFFFF"/>
        </w:rPr>
        <w:t>tego typu</w:t>
      </w:r>
      <w:r w:rsidRPr="00307B10">
        <w:rPr>
          <w:rFonts w:ascii="Garamond" w:hAnsi="Garamond" w:cs="Arial"/>
          <w:sz w:val="24"/>
          <w:szCs w:val="24"/>
          <w:shd w:val="clear" w:color="auto" w:fill="FFFFFF"/>
        </w:rPr>
        <w:t xml:space="preserve"> przestępstw</w:t>
      </w:r>
      <w:r w:rsidR="00874625" w:rsidRPr="00307B10">
        <w:rPr>
          <w:rFonts w:ascii="Garamond" w:hAnsi="Garamond" w:cs="Arial"/>
          <w:sz w:val="24"/>
          <w:szCs w:val="24"/>
          <w:shd w:val="clear" w:color="auto" w:fill="FFFFFF"/>
        </w:rPr>
        <w:t>. Należy również zauważyć, iż przepisy te pełnią funkcję prewenc</w:t>
      </w:r>
      <w:r w:rsidR="00473F57" w:rsidRPr="00307B10">
        <w:rPr>
          <w:rFonts w:ascii="Garamond" w:hAnsi="Garamond" w:cs="Arial"/>
          <w:sz w:val="24"/>
          <w:szCs w:val="24"/>
          <w:shd w:val="clear" w:color="auto" w:fill="FFFFFF"/>
        </w:rPr>
        <w:t>yjną: z</w:t>
      </w:r>
      <w:r w:rsidR="00874625" w:rsidRPr="00307B10">
        <w:rPr>
          <w:rFonts w:ascii="Garamond" w:hAnsi="Garamond" w:cs="Arial"/>
          <w:sz w:val="24"/>
          <w:szCs w:val="24"/>
          <w:shd w:val="clear" w:color="auto" w:fill="FFFFFF"/>
        </w:rPr>
        <w:t xml:space="preserve"> jednej strony przepisy karne wprowadzające </w:t>
      </w:r>
      <w:r w:rsidR="00874625" w:rsidRPr="00307B10">
        <w:rPr>
          <w:rFonts w:ascii="Garamond" w:eastAsia="Times New Roman" w:hAnsi="Garamond"/>
          <w:sz w:val="24"/>
          <w:szCs w:val="24"/>
          <w:lang w:eastAsia="pl-PL"/>
        </w:rPr>
        <w:t>zagrożenie karą pozbawienia wolności od 3 miesięcy do lat 5, a z drugiej strony p</w:t>
      </w:r>
      <w:r w:rsidR="00874625" w:rsidRPr="00307B10">
        <w:rPr>
          <w:rFonts w:ascii="Garamond" w:hAnsi="Garamond" w:cs="Arial"/>
          <w:sz w:val="24"/>
          <w:szCs w:val="24"/>
          <w:shd w:val="clear" w:color="auto" w:fill="FFFFFF"/>
        </w:rPr>
        <w:t xml:space="preserve">rzepisy wprowadzają rozwiązania mające usystematyzować legalną wymianę licznika oraz ewidencjonowanie przebiegu pojazdów. </w:t>
      </w:r>
    </w:p>
    <w:p w:rsidR="00C94D29" w:rsidRDefault="00C94D29" w:rsidP="00C94D29">
      <w:pPr>
        <w:spacing w:after="0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</w:p>
    <w:p w:rsidR="00C94D29" w:rsidRDefault="00C94D29" w:rsidP="00C94D29">
      <w:pPr>
        <w:spacing w:after="0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 xml:space="preserve">autor </w:t>
      </w:r>
    </w:p>
    <w:p w:rsidR="00C94D29" w:rsidRDefault="00C94D29" w:rsidP="00C94D29">
      <w:pPr>
        <w:spacing w:after="0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 xml:space="preserve">radca prawny Karolina Cichocka </w:t>
      </w:r>
    </w:p>
    <w:p w:rsidR="00C94D29" w:rsidRPr="00C94D29" w:rsidRDefault="00C94D29" w:rsidP="00C94D29">
      <w:pPr>
        <w:rPr>
          <w:rFonts w:ascii="Garamond" w:eastAsiaTheme="minorEastAsia" w:hAnsi="Garamond"/>
          <w:noProof/>
          <w:sz w:val="24"/>
          <w:szCs w:val="24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 xml:space="preserve">z </w:t>
      </w:r>
      <w:r w:rsidRPr="00C94D29">
        <w:rPr>
          <w:rFonts w:ascii="Garamond" w:eastAsiaTheme="minorEastAsia" w:hAnsi="Garamond"/>
          <w:noProof/>
          <w:sz w:val="24"/>
          <w:szCs w:val="24"/>
        </w:rPr>
        <w:t>Kancelarii</w:t>
      </w:r>
      <w:r w:rsidRPr="00C94D29">
        <w:rPr>
          <w:rFonts w:ascii="Garamond" w:eastAsiaTheme="minorEastAsia" w:hAnsi="Garamond"/>
          <w:noProof/>
          <w:sz w:val="24"/>
          <w:szCs w:val="24"/>
        </w:rPr>
        <w:t xml:space="preserve"> Radców Prawnych</w:t>
      </w:r>
      <w:r>
        <w:rPr>
          <w:rFonts w:ascii="Garamond" w:eastAsiaTheme="minorEastAsia" w:hAnsi="Garamond"/>
          <w:noProof/>
          <w:sz w:val="24"/>
          <w:szCs w:val="24"/>
        </w:rPr>
        <w:t xml:space="preserve"> </w:t>
      </w:r>
      <w:r w:rsidRPr="00C94D29">
        <w:rPr>
          <w:rFonts w:ascii="Garamond" w:eastAsiaTheme="minorEastAsia" w:hAnsi="Garamond"/>
          <w:noProof/>
          <w:sz w:val="24"/>
          <w:szCs w:val="24"/>
        </w:rPr>
        <w:t>Dudkiewicz Ciastko Cichocka s.c</w:t>
      </w:r>
      <w:r>
        <w:rPr>
          <w:rFonts w:ascii="Garamond" w:eastAsiaTheme="minorEastAsia" w:hAnsi="Garamond"/>
          <w:noProof/>
          <w:color w:val="1F497D" w:themeColor="dark2"/>
        </w:rPr>
        <w:t>.</w:t>
      </w:r>
      <w:r>
        <w:rPr>
          <w:rFonts w:ascii="Garamond" w:eastAsiaTheme="minorEastAsia" w:hAnsi="Garamond"/>
          <w:noProof/>
          <w:color w:val="1F497D" w:themeColor="dark2"/>
        </w:rPr>
        <w:t xml:space="preserve"> </w:t>
      </w:r>
      <w:r w:rsidRPr="00C94D29">
        <w:rPr>
          <w:rFonts w:ascii="Garamond" w:eastAsiaTheme="minorEastAsia" w:hAnsi="Garamond"/>
          <w:noProof/>
        </w:rPr>
        <w:t>z siedzibą w Poznaniu</w:t>
      </w:r>
    </w:p>
    <w:p w:rsidR="00C94D29" w:rsidRPr="00307B10" w:rsidRDefault="00C94D29" w:rsidP="00C94D29">
      <w:pPr>
        <w:spacing w:after="0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</w:p>
    <w:p w:rsidR="000A0F3A" w:rsidRPr="00307B10" w:rsidRDefault="000A0F3A" w:rsidP="00A25195">
      <w:pPr>
        <w:spacing w:after="0"/>
        <w:ind w:firstLine="709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</w:p>
    <w:p w:rsidR="00A70BB6" w:rsidRPr="00307B10" w:rsidRDefault="00A70BB6" w:rsidP="00A25195">
      <w:pPr>
        <w:shd w:val="clear" w:color="auto" w:fill="FFFFFF"/>
        <w:spacing w:after="0"/>
        <w:ind w:firstLine="709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A70BB6" w:rsidRPr="0030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18" w:rsidRDefault="00CE2818" w:rsidP="0021318D">
      <w:pPr>
        <w:spacing w:after="0" w:line="240" w:lineRule="auto"/>
      </w:pPr>
      <w:r>
        <w:separator/>
      </w:r>
    </w:p>
  </w:endnote>
  <w:endnote w:type="continuationSeparator" w:id="0">
    <w:p w:rsidR="00CE2818" w:rsidRDefault="00CE2818" w:rsidP="0021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18" w:rsidRDefault="00CE2818" w:rsidP="0021318D">
      <w:pPr>
        <w:spacing w:after="0" w:line="240" w:lineRule="auto"/>
      </w:pPr>
      <w:r>
        <w:separator/>
      </w:r>
    </w:p>
  </w:footnote>
  <w:footnote w:type="continuationSeparator" w:id="0">
    <w:p w:rsidR="00CE2818" w:rsidRDefault="00CE2818" w:rsidP="00213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D6AF5"/>
    <w:multiLevelType w:val="hybridMultilevel"/>
    <w:tmpl w:val="31260D2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64B3406"/>
    <w:multiLevelType w:val="multilevel"/>
    <w:tmpl w:val="1548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ED"/>
    <w:rsid w:val="00006438"/>
    <w:rsid w:val="00034312"/>
    <w:rsid w:val="00045DF3"/>
    <w:rsid w:val="0005369E"/>
    <w:rsid w:val="000628E2"/>
    <w:rsid w:val="000637BC"/>
    <w:rsid w:val="00073CD9"/>
    <w:rsid w:val="0007480A"/>
    <w:rsid w:val="00076B2E"/>
    <w:rsid w:val="000867C9"/>
    <w:rsid w:val="000A0F3A"/>
    <w:rsid w:val="000A20F9"/>
    <w:rsid w:val="000E0857"/>
    <w:rsid w:val="000F541F"/>
    <w:rsid w:val="001016B4"/>
    <w:rsid w:val="001018CD"/>
    <w:rsid w:val="00123323"/>
    <w:rsid w:val="00133B20"/>
    <w:rsid w:val="00155D36"/>
    <w:rsid w:val="00190967"/>
    <w:rsid w:val="001B2443"/>
    <w:rsid w:val="001C5FFC"/>
    <w:rsid w:val="001F6A36"/>
    <w:rsid w:val="0021318D"/>
    <w:rsid w:val="00250E1D"/>
    <w:rsid w:val="00254642"/>
    <w:rsid w:val="00264614"/>
    <w:rsid w:val="00277660"/>
    <w:rsid w:val="002C44E6"/>
    <w:rsid w:val="00307B10"/>
    <w:rsid w:val="00311F88"/>
    <w:rsid w:val="00315B6C"/>
    <w:rsid w:val="00331913"/>
    <w:rsid w:val="003622AF"/>
    <w:rsid w:val="00374424"/>
    <w:rsid w:val="003A690B"/>
    <w:rsid w:val="003C55AD"/>
    <w:rsid w:val="00405B71"/>
    <w:rsid w:val="004116ED"/>
    <w:rsid w:val="00415912"/>
    <w:rsid w:val="00437376"/>
    <w:rsid w:val="004519BE"/>
    <w:rsid w:val="00473F57"/>
    <w:rsid w:val="00480DA3"/>
    <w:rsid w:val="004E3B8F"/>
    <w:rsid w:val="004E5983"/>
    <w:rsid w:val="00542731"/>
    <w:rsid w:val="00550EEF"/>
    <w:rsid w:val="00584E10"/>
    <w:rsid w:val="00585877"/>
    <w:rsid w:val="005913BC"/>
    <w:rsid w:val="005C31AA"/>
    <w:rsid w:val="005C6AC9"/>
    <w:rsid w:val="005E0723"/>
    <w:rsid w:val="005E73DC"/>
    <w:rsid w:val="00637787"/>
    <w:rsid w:val="00640E13"/>
    <w:rsid w:val="00655B4A"/>
    <w:rsid w:val="00666DF5"/>
    <w:rsid w:val="00697A40"/>
    <w:rsid w:val="006B37CF"/>
    <w:rsid w:val="006B7CEF"/>
    <w:rsid w:val="006E28A5"/>
    <w:rsid w:val="006E4695"/>
    <w:rsid w:val="006F5D1C"/>
    <w:rsid w:val="00703F4E"/>
    <w:rsid w:val="00714231"/>
    <w:rsid w:val="00725C10"/>
    <w:rsid w:val="0074163D"/>
    <w:rsid w:val="007577F3"/>
    <w:rsid w:val="007673D8"/>
    <w:rsid w:val="00775498"/>
    <w:rsid w:val="00780D95"/>
    <w:rsid w:val="007B0C51"/>
    <w:rsid w:val="007F1F52"/>
    <w:rsid w:val="007F6433"/>
    <w:rsid w:val="0081427B"/>
    <w:rsid w:val="0082711F"/>
    <w:rsid w:val="00834260"/>
    <w:rsid w:val="00840BFE"/>
    <w:rsid w:val="00847FD8"/>
    <w:rsid w:val="008565FF"/>
    <w:rsid w:val="00873EC2"/>
    <w:rsid w:val="00874625"/>
    <w:rsid w:val="008900BD"/>
    <w:rsid w:val="00891833"/>
    <w:rsid w:val="00892950"/>
    <w:rsid w:val="008E7AB5"/>
    <w:rsid w:val="008F5EE3"/>
    <w:rsid w:val="00902842"/>
    <w:rsid w:val="00905971"/>
    <w:rsid w:val="00921898"/>
    <w:rsid w:val="00937A04"/>
    <w:rsid w:val="009A699A"/>
    <w:rsid w:val="009B4A4D"/>
    <w:rsid w:val="009B6F10"/>
    <w:rsid w:val="009E4FB5"/>
    <w:rsid w:val="00A025B8"/>
    <w:rsid w:val="00A25195"/>
    <w:rsid w:val="00A3691F"/>
    <w:rsid w:val="00A528FA"/>
    <w:rsid w:val="00A70BB6"/>
    <w:rsid w:val="00AB3EAF"/>
    <w:rsid w:val="00AC5A87"/>
    <w:rsid w:val="00AD4B7B"/>
    <w:rsid w:val="00B119A0"/>
    <w:rsid w:val="00B57E27"/>
    <w:rsid w:val="00B81632"/>
    <w:rsid w:val="00B84777"/>
    <w:rsid w:val="00BA101C"/>
    <w:rsid w:val="00BC16F3"/>
    <w:rsid w:val="00C512E5"/>
    <w:rsid w:val="00C71C00"/>
    <w:rsid w:val="00C94D29"/>
    <w:rsid w:val="00CD16A5"/>
    <w:rsid w:val="00CE2818"/>
    <w:rsid w:val="00D12F17"/>
    <w:rsid w:val="00D1667A"/>
    <w:rsid w:val="00D63519"/>
    <w:rsid w:val="00D94D79"/>
    <w:rsid w:val="00D94EAF"/>
    <w:rsid w:val="00DA7B48"/>
    <w:rsid w:val="00DE2A5F"/>
    <w:rsid w:val="00E350B2"/>
    <w:rsid w:val="00E549D7"/>
    <w:rsid w:val="00EA1500"/>
    <w:rsid w:val="00EC27FF"/>
    <w:rsid w:val="00F14942"/>
    <w:rsid w:val="00F20F53"/>
    <w:rsid w:val="00F35E6E"/>
    <w:rsid w:val="00F907F3"/>
    <w:rsid w:val="00FE055C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31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423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319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331913"/>
  </w:style>
  <w:style w:type="paragraph" w:customStyle="1" w:styleId="mainpub">
    <w:name w:val="mainpub"/>
    <w:basedOn w:val="Normalny"/>
    <w:rsid w:val="0033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1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1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318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36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36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36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2A5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67C9"/>
    <w:rPr>
      <w:b/>
      <w:bCs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74163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3A690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3A690B"/>
    <w:rPr>
      <w:i/>
    </w:rPr>
  </w:style>
  <w:style w:type="paragraph" w:customStyle="1" w:styleId="CM12">
    <w:name w:val="CM1+2"/>
    <w:basedOn w:val="Normalny"/>
    <w:next w:val="Normalny"/>
    <w:uiPriority w:val="99"/>
    <w:rsid w:val="003A690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2">
    <w:name w:val="CM3+2"/>
    <w:basedOn w:val="Normalny"/>
    <w:next w:val="Normalny"/>
    <w:uiPriority w:val="99"/>
    <w:rsid w:val="003A690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2">
    <w:name w:val="CM4+2"/>
    <w:basedOn w:val="Normalny"/>
    <w:next w:val="Normalny"/>
    <w:uiPriority w:val="99"/>
    <w:rsid w:val="003A690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C16F3"/>
    <w:rPr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31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423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319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331913"/>
  </w:style>
  <w:style w:type="paragraph" w:customStyle="1" w:styleId="mainpub">
    <w:name w:val="mainpub"/>
    <w:basedOn w:val="Normalny"/>
    <w:rsid w:val="0033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1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1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318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36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36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36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2A5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67C9"/>
    <w:rPr>
      <w:b/>
      <w:bCs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74163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3A690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3A690B"/>
    <w:rPr>
      <w:i/>
    </w:rPr>
  </w:style>
  <w:style w:type="paragraph" w:customStyle="1" w:styleId="CM12">
    <w:name w:val="CM1+2"/>
    <w:basedOn w:val="Normalny"/>
    <w:next w:val="Normalny"/>
    <w:uiPriority w:val="99"/>
    <w:rsid w:val="003A690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2">
    <w:name w:val="CM3+2"/>
    <w:basedOn w:val="Normalny"/>
    <w:next w:val="Normalny"/>
    <w:uiPriority w:val="99"/>
    <w:rsid w:val="003A690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2">
    <w:name w:val="CM4+2"/>
    <w:basedOn w:val="Normalny"/>
    <w:next w:val="Normalny"/>
    <w:uiPriority w:val="99"/>
    <w:rsid w:val="003A690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C16F3"/>
    <w:rPr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79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9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6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CICHOCKA</dc:creator>
  <cp:lastModifiedBy>KAROLINA CICHOCKA</cp:lastModifiedBy>
  <cp:revision>3</cp:revision>
  <cp:lastPrinted>2018-01-23T11:36:00Z</cp:lastPrinted>
  <dcterms:created xsi:type="dcterms:W3CDTF">2018-01-23T11:52:00Z</dcterms:created>
  <dcterms:modified xsi:type="dcterms:W3CDTF">2018-01-23T11:57:00Z</dcterms:modified>
</cp:coreProperties>
</file>