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E" w:rsidRPr="004557EE" w:rsidRDefault="004557EE" w:rsidP="004557EE">
      <w:pPr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</w:pPr>
      <w:r w:rsidRPr="004557EE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>31 maja 2021 odbyło się spotkanie Rady Przedsiębiorczości z Ministrem Finansów Tadeuszem Kościńskim oraz jego wiceministrami Janem Sarnowskim ora</w:t>
      </w:r>
      <w:r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>z</w:t>
      </w:r>
      <w:r w:rsidRPr="004557EE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 xml:space="preserve"> Magdaleną Rzeczkowską, szefową K</w:t>
      </w:r>
      <w:r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 xml:space="preserve">rajowej Administracji Skarbowej w sprawie </w:t>
      </w:r>
      <w:r>
        <w:rPr>
          <w:lang w:val="pl-PL"/>
        </w:rPr>
        <w:t>propozycji Nowego Ładu Podatkowego (NŁP).</w:t>
      </w:r>
      <w:r>
        <w:rPr>
          <w:lang w:val="pl-PL"/>
        </w:rPr>
        <w:br/>
      </w:r>
      <w:r w:rsidRPr="004557EE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 xml:space="preserve">Business Centre Club reprezentowany był przez wiceprezesa Zbigniewa Żurka oraz Michała Borowskiego, eksperta ds. podatków. </w:t>
      </w:r>
      <w:r w:rsidR="00FC4CA3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>BCC z</w:t>
      </w:r>
      <w:r w:rsidRPr="004557EE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>głos</w:t>
      </w:r>
      <w:r w:rsidR="00FC4CA3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>ił</w:t>
      </w:r>
      <w:r w:rsidRPr="004557EE"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t xml:space="preserve"> szereg postulatów zmian korzystnych dla przedsiębiorców a dotyczących kwestii podatkowych. Propozycje zmian zostały przez Ministerstwo Finansów przyjęte. </w:t>
      </w:r>
      <w:r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  <w:br/>
        <w:t>Poniżej inicjatywy BCC ujęte w grupy problemowe:</w:t>
      </w:r>
    </w:p>
    <w:p w:rsidR="0045615C" w:rsidRDefault="0045615C">
      <w:pPr>
        <w:rPr>
          <w:lang w:val="pl-PL"/>
        </w:rPr>
      </w:pPr>
    </w:p>
    <w:p w:rsidR="0045615C" w:rsidRDefault="0045615C" w:rsidP="0045615C">
      <w:pPr>
        <w:pStyle w:val="Akapitzlist"/>
        <w:numPr>
          <w:ilvl w:val="0"/>
          <w:numId w:val="1"/>
        </w:numPr>
        <w:rPr>
          <w:lang w:val="pl-PL"/>
        </w:rPr>
      </w:pPr>
      <w:r w:rsidRPr="00E37995">
        <w:rPr>
          <w:b/>
          <w:bCs/>
          <w:lang w:val="pl-PL"/>
        </w:rPr>
        <w:t>Propozycja wyłączenia możliwości odliczenia od podatku składki zdrowotnej dla przedsiębiorców</w:t>
      </w:r>
      <w:r>
        <w:rPr>
          <w:lang w:val="pl-PL"/>
        </w:rPr>
        <w:t xml:space="preserve"> została oceniona</w:t>
      </w:r>
      <w:r w:rsidR="004557EE">
        <w:rPr>
          <w:lang w:val="pl-PL"/>
        </w:rPr>
        <w:t xml:space="preserve"> przez BCC oraz pozostałe organizacje</w:t>
      </w:r>
      <w:r>
        <w:rPr>
          <w:lang w:val="pl-PL"/>
        </w:rPr>
        <w:t xml:space="preserve"> jednoznacznie negatywnie</w:t>
      </w:r>
      <w:r w:rsidR="004557EE">
        <w:rPr>
          <w:lang w:val="pl-PL"/>
        </w:rPr>
        <w:t>.</w:t>
      </w:r>
      <w:r w:rsidR="00FC4CA3">
        <w:rPr>
          <w:lang w:val="pl-PL"/>
        </w:rPr>
        <w:br/>
      </w:r>
    </w:p>
    <w:p w:rsidR="00E37995" w:rsidRPr="00E37995" w:rsidRDefault="00E37995" w:rsidP="0045615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E37995">
        <w:rPr>
          <w:b/>
          <w:bCs/>
          <w:lang w:val="pl-PL"/>
        </w:rPr>
        <w:t>Grupy VAT</w:t>
      </w:r>
    </w:p>
    <w:p w:rsidR="0045615C" w:rsidRPr="00E37995" w:rsidRDefault="0045615C" w:rsidP="00E37995">
      <w:pPr>
        <w:pStyle w:val="Akapitzlist"/>
        <w:numPr>
          <w:ilvl w:val="1"/>
          <w:numId w:val="1"/>
        </w:numPr>
        <w:rPr>
          <w:lang w:val="pl-PL"/>
        </w:rPr>
      </w:pPr>
      <w:r w:rsidRPr="00E37995">
        <w:rPr>
          <w:lang w:val="pl-PL"/>
        </w:rPr>
        <w:t>W odniesieniu do propozycji NŁP w zakresie wprowadzenia Grup VAT, BCC wskazało, że kierunkowo są to dobre zmiany, niemniej jednak z uwagi na zaproponowane przez Ministerstwo Rozwoju i Finansów dodatkowe kryteria i warunki dla możliwości skorzystania z takiego rozwiązania (kryteria analogiczne jak przy Podatkowej Grupie Kapitałowej) proponowane rozwiązanie nie będzie atrakcyjne dla zdecydowanej większości podatników. W tym zakresie BCC postulowało znaczne uproszczenie kryteriów stworzenia Grupy VAT podkreślając, że rozwiązanie to z powodzeniem działa w wielu krajach członkowskich UE i pozwala na znaczne zmniejszenie obciążeń administracyjnych związanych z rozliczaniem VAT.</w:t>
      </w:r>
    </w:p>
    <w:p w:rsidR="00E37995" w:rsidRDefault="00E37995" w:rsidP="00E37995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Propozycje BCC obejmowały:</w:t>
      </w:r>
    </w:p>
    <w:p w:rsidR="00E37995" w:rsidRDefault="00E37995" w:rsidP="00E37995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Odstąpienie od wymogów dla stworzenia Grupy VAT w oparciu o te same kryteria, które dotyczą Podatkowej Grupy Kapitałowej</w:t>
      </w:r>
    </w:p>
    <w:p w:rsidR="00E37995" w:rsidRPr="00E37995" w:rsidRDefault="00E37995" w:rsidP="00E37995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Odstąpienie od wymogu ewidencjonowania transakcji pomiędzy podmiotami w ramach Grupy VAT, które podlegają wyłączeniu z opodatkowania VAT (taka dodatkowa ewidencja w istocie przeczy samemu rozwiązaniu).</w:t>
      </w:r>
      <w:r w:rsidR="00FC4CA3">
        <w:rPr>
          <w:lang w:val="pl-PL"/>
        </w:rPr>
        <w:br/>
      </w:r>
    </w:p>
    <w:p w:rsidR="0045615C" w:rsidRPr="00E37995" w:rsidRDefault="0045615C" w:rsidP="0045615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E37995">
        <w:rPr>
          <w:b/>
          <w:bCs/>
          <w:lang w:val="pl-PL"/>
        </w:rPr>
        <w:t>Zmiany w zakresie „Estońskiego CIT”</w:t>
      </w:r>
    </w:p>
    <w:p w:rsidR="00BB5813" w:rsidRDefault="0045615C" w:rsidP="00BB5813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BCC wskazało, że o</w:t>
      </w:r>
      <w:r w:rsidRPr="0045615C">
        <w:rPr>
          <w:lang w:val="pl-PL"/>
        </w:rPr>
        <w:t xml:space="preserve">becnie, warunki (progi wejścia) dla stosowania reżimu </w:t>
      </w:r>
      <w:r>
        <w:rPr>
          <w:lang w:val="pl-PL"/>
        </w:rPr>
        <w:t>„</w:t>
      </w:r>
      <w:r w:rsidRPr="0045615C">
        <w:rPr>
          <w:lang w:val="pl-PL"/>
        </w:rPr>
        <w:t>estońskiego CIT</w:t>
      </w:r>
      <w:r>
        <w:rPr>
          <w:lang w:val="pl-PL"/>
        </w:rPr>
        <w:t>”</w:t>
      </w:r>
      <w:r w:rsidRPr="0045615C">
        <w:rPr>
          <w:lang w:val="pl-PL"/>
        </w:rPr>
        <w:t xml:space="preserve"> powodują znaczące zawężenie zakresu jego stosowania. Efektywnie, mimo iż nowe przepisy obowiązują już prawie pół roku, z </w:t>
      </w:r>
      <w:r w:rsidR="00BB5813">
        <w:rPr>
          <w:lang w:val="pl-PL"/>
        </w:rPr>
        <w:t>nowego rozwiązania</w:t>
      </w:r>
      <w:r w:rsidRPr="0045615C">
        <w:rPr>
          <w:lang w:val="pl-PL"/>
        </w:rPr>
        <w:t xml:space="preserve"> zdecydowało się skorzystać około 300 firm. Znaczącym utrudnieniem w stosowaniu nowych przepisów jest też ich zawiłość. Niejednokrotnie przedsiębiorcy wskazują iż ustalenie czy mogą korzystać z nowego reżimu oraz jakie są związane z tym oszczędności podatkowe kosztuje niewspółmiernie dużo czasu pracy (a co za tym idzie kosztów) ich pracowników. Nie będąc pewnym czy spodziewane korzyści przewyższą nakłady, wielu przedsiębiorców rezygnuje z analizy studium efektywności.</w:t>
      </w:r>
    </w:p>
    <w:p w:rsidR="00BB5813" w:rsidRPr="00D2754C" w:rsidRDefault="00BB5813" w:rsidP="00D2754C">
      <w:pPr>
        <w:pStyle w:val="Akapitzlist"/>
        <w:numPr>
          <w:ilvl w:val="1"/>
          <w:numId w:val="1"/>
        </w:numPr>
        <w:rPr>
          <w:lang w:val="pl-PL"/>
        </w:rPr>
      </w:pPr>
      <w:r w:rsidRPr="00D2754C">
        <w:rPr>
          <w:lang w:val="pl-PL"/>
        </w:rPr>
        <w:t>BCC wskazało, że k</w:t>
      </w:r>
      <w:r w:rsidR="0045615C" w:rsidRPr="00D2754C">
        <w:rPr>
          <w:lang w:val="pl-PL"/>
        </w:rPr>
        <w:t>ierunek zmierzający do rozszerzenia lub te</w:t>
      </w:r>
      <w:r w:rsidRPr="00D2754C">
        <w:rPr>
          <w:lang w:val="pl-PL"/>
        </w:rPr>
        <w:t>ż</w:t>
      </w:r>
      <w:r w:rsidR="0045615C" w:rsidRPr="00D2754C">
        <w:rPr>
          <w:lang w:val="pl-PL"/>
        </w:rPr>
        <w:t xml:space="preserve"> poluzowania warunków stosowania </w:t>
      </w:r>
      <w:r w:rsidRPr="00D2754C">
        <w:rPr>
          <w:lang w:val="pl-PL"/>
        </w:rPr>
        <w:t>„</w:t>
      </w:r>
      <w:r w:rsidR="0045615C" w:rsidRPr="00D2754C">
        <w:rPr>
          <w:lang w:val="pl-PL"/>
        </w:rPr>
        <w:t>estońskiego CIT</w:t>
      </w:r>
      <w:r w:rsidRPr="00D2754C">
        <w:rPr>
          <w:lang w:val="pl-PL"/>
        </w:rPr>
        <w:t>”</w:t>
      </w:r>
      <w:r w:rsidR="0045615C" w:rsidRPr="00D2754C">
        <w:rPr>
          <w:lang w:val="pl-PL"/>
        </w:rPr>
        <w:t xml:space="preserve"> należy uznać za bardzo dobry. </w:t>
      </w:r>
      <w:r w:rsidR="00D2754C" w:rsidRPr="00D2754C">
        <w:rPr>
          <w:lang w:val="pl-PL"/>
        </w:rPr>
        <w:t>Niemniej r</w:t>
      </w:r>
      <w:r w:rsidR="0045615C" w:rsidRPr="00D2754C">
        <w:rPr>
          <w:lang w:val="pl-PL"/>
        </w:rPr>
        <w:t xml:space="preserve">ozumiejąc potrzebę zapewnienia szczelności systemu podatkowego, </w:t>
      </w:r>
      <w:r w:rsidR="00D2754C" w:rsidRPr="00D2754C">
        <w:rPr>
          <w:lang w:val="pl-PL"/>
        </w:rPr>
        <w:t xml:space="preserve">BCC wskazało że </w:t>
      </w:r>
      <w:r w:rsidR="0045615C" w:rsidRPr="00D2754C">
        <w:rPr>
          <w:lang w:val="pl-PL"/>
        </w:rPr>
        <w:t xml:space="preserve">istnieje szereg barier w korzystaniu z systemu których likwidacja mogłaby </w:t>
      </w:r>
      <w:r w:rsidR="0045615C" w:rsidRPr="00D2754C">
        <w:rPr>
          <w:lang w:val="pl-PL"/>
        </w:rPr>
        <w:lastRenderedPageBreak/>
        <w:t>wesprzeć popularyzację tej formy opodatkowania.</w:t>
      </w:r>
      <w:r w:rsidRPr="00D2754C">
        <w:rPr>
          <w:lang w:val="pl-PL"/>
        </w:rPr>
        <w:t>Dotychczasowa praktyka stosowania nowych przepisów pokazuje, że powodują one szereg wątpliwości praktycznych. Dodatkowo, „trwanie” w reżimie estońskiego CIT również wymaga spełnienia wielu warunków które mogą obniżać elastyczność i co za tym idzie: atrakcyjność stosowania tej formy opodatkowania.W szczególności podnoszone przez przedsiębiorców bariery dotyczą</w:t>
      </w:r>
      <w:r w:rsidR="00D2754C" w:rsidRPr="00D2754C">
        <w:rPr>
          <w:lang w:val="pl-PL"/>
        </w:rPr>
        <w:t xml:space="preserve"> r</w:t>
      </w:r>
      <w:r w:rsidRPr="00D2754C">
        <w:rPr>
          <w:lang w:val="pl-PL"/>
        </w:rPr>
        <w:t xml:space="preserve">ozliczeń na wyjściu z </w:t>
      </w:r>
      <w:r w:rsidR="00D2754C" w:rsidRPr="00D2754C">
        <w:rPr>
          <w:lang w:val="pl-PL"/>
        </w:rPr>
        <w:t>systemu</w:t>
      </w:r>
      <w:r w:rsidRPr="00D2754C">
        <w:rPr>
          <w:lang w:val="pl-PL"/>
        </w:rPr>
        <w:t xml:space="preserve"> i konieczności wypłaty zysków</w:t>
      </w:r>
      <w:r w:rsidR="00D2754C" w:rsidRPr="00D2754C">
        <w:rPr>
          <w:lang w:val="pl-PL"/>
        </w:rPr>
        <w:t>, c</w:t>
      </w:r>
      <w:r w:rsidRPr="00D2754C">
        <w:rPr>
          <w:lang w:val="pl-PL"/>
        </w:rPr>
        <w:t>zasochłonnoś</w:t>
      </w:r>
      <w:r w:rsidR="00D2754C" w:rsidRPr="00D2754C">
        <w:rPr>
          <w:lang w:val="pl-PL"/>
        </w:rPr>
        <w:t>ci</w:t>
      </w:r>
      <w:r w:rsidRPr="00D2754C">
        <w:rPr>
          <w:lang w:val="pl-PL"/>
        </w:rPr>
        <w:t xml:space="preserve"> przygotowania do wejścia w </w:t>
      </w:r>
      <w:r w:rsidR="00D2754C" w:rsidRPr="00D2754C">
        <w:rPr>
          <w:lang w:val="pl-PL"/>
        </w:rPr>
        <w:t>system</w:t>
      </w:r>
      <w:r w:rsidRPr="00D2754C">
        <w:rPr>
          <w:lang w:val="pl-PL"/>
        </w:rPr>
        <w:t xml:space="preserve">, utrata prawa do ulg wraz z wejściem w </w:t>
      </w:r>
      <w:r w:rsidR="00D2754C" w:rsidRPr="00D2754C">
        <w:rPr>
          <w:lang w:val="pl-PL"/>
        </w:rPr>
        <w:t>system</w:t>
      </w:r>
      <w:r w:rsidR="00D2754C">
        <w:rPr>
          <w:lang w:val="pl-PL"/>
        </w:rPr>
        <w:t xml:space="preserve">, </w:t>
      </w:r>
      <w:r w:rsidRPr="00D2754C">
        <w:rPr>
          <w:lang w:val="pl-PL"/>
        </w:rPr>
        <w:t>zawiłoś</w:t>
      </w:r>
      <w:r w:rsidR="00D2754C">
        <w:rPr>
          <w:lang w:val="pl-PL"/>
        </w:rPr>
        <w:t>ci</w:t>
      </w:r>
      <w:r w:rsidRPr="00D2754C">
        <w:rPr>
          <w:lang w:val="pl-PL"/>
        </w:rPr>
        <w:t xml:space="preserve"> rozliczania podatku (łącznie 7 rodzajów dochodów i 4 podstawy opodatkowania)</w:t>
      </w:r>
    </w:p>
    <w:p w:rsidR="00BB5813" w:rsidRDefault="00BB5813" w:rsidP="00BB5813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BCC zaproponowało następujące zmiany do systemu „estońskiego CIT”:</w:t>
      </w:r>
    </w:p>
    <w:p w:rsidR="0045615C" w:rsidRDefault="0045615C" w:rsidP="00BB5813">
      <w:pPr>
        <w:pStyle w:val="Akapitzlist"/>
        <w:numPr>
          <w:ilvl w:val="2"/>
          <w:numId w:val="1"/>
        </w:numPr>
        <w:rPr>
          <w:lang w:val="pl-PL"/>
        </w:rPr>
      </w:pPr>
      <w:r w:rsidRPr="00BB5813">
        <w:rPr>
          <w:lang w:val="pl-PL"/>
        </w:rPr>
        <w:t xml:space="preserve">Możliwość korzystania z reżimu </w:t>
      </w:r>
      <w:r w:rsidR="00BB5813">
        <w:rPr>
          <w:lang w:val="pl-PL"/>
        </w:rPr>
        <w:t>„</w:t>
      </w:r>
      <w:r w:rsidRPr="00BB5813">
        <w:rPr>
          <w:lang w:val="pl-PL"/>
        </w:rPr>
        <w:t>estońskiego CIT</w:t>
      </w:r>
      <w:r w:rsidR="00BB5813">
        <w:rPr>
          <w:lang w:val="pl-PL"/>
        </w:rPr>
        <w:t>”</w:t>
      </w:r>
      <w:r w:rsidRPr="00BB5813">
        <w:rPr>
          <w:lang w:val="pl-PL"/>
        </w:rPr>
        <w:t xml:space="preserve"> również przez innych podatników CIT (spółki komandytowo-akcyjne, spółki komandytowe)</w:t>
      </w:r>
      <w:r w:rsidR="00D2754C">
        <w:rPr>
          <w:lang w:val="pl-PL"/>
        </w:rPr>
        <w:t>;</w:t>
      </w:r>
    </w:p>
    <w:p w:rsidR="0045615C" w:rsidRDefault="0045615C" w:rsidP="00BB5813">
      <w:pPr>
        <w:pStyle w:val="Akapitzlist"/>
        <w:numPr>
          <w:ilvl w:val="2"/>
          <w:numId w:val="1"/>
        </w:numPr>
        <w:rPr>
          <w:lang w:val="pl-PL"/>
        </w:rPr>
      </w:pPr>
      <w:r w:rsidRPr="00BB5813">
        <w:rPr>
          <w:lang w:val="pl-PL"/>
        </w:rPr>
        <w:t>Dopuszczenie istnienia powiązań kapitałowych</w:t>
      </w:r>
      <w:r w:rsidR="00D2754C">
        <w:rPr>
          <w:lang w:val="pl-PL"/>
        </w:rPr>
        <w:t xml:space="preserve"> w ramach systemu;</w:t>
      </w:r>
    </w:p>
    <w:p w:rsidR="00BB5813" w:rsidRDefault="0045615C" w:rsidP="00BB5813">
      <w:pPr>
        <w:pStyle w:val="Akapitzlist"/>
        <w:numPr>
          <w:ilvl w:val="2"/>
          <w:numId w:val="1"/>
        </w:numPr>
        <w:rPr>
          <w:lang w:val="pl-PL"/>
        </w:rPr>
      </w:pPr>
      <w:r w:rsidRPr="00BB5813">
        <w:rPr>
          <w:lang w:val="pl-PL"/>
        </w:rPr>
        <w:t xml:space="preserve">Dopuszczenie możliwości </w:t>
      </w:r>
      <w:r w:rsidR="00BB5813">
        <w:rPr>
          <w:lang w:val="pl-PL"/>
        </w:rPr>
        <w:t xml:space="preserve">ponoszenia </w:t>
      </w:r>
      <w:r w:rsidRPr="00BB5813">
        <w:rPr>
          <w:lang w:val="pl-PL"/>
        </w:rPr>
        <w:t>nakładów inwestycyjnych na WNiP</w:t>
      </w:r>
      <w:r w:rsidR="00BB5813">
        <w:rPr>
          <w:lang w:val="pl-PL"/>
        </w:rPr>
        <w:t>(a nie wyłącznie na środki trwałe) – w ramach oceny kryteriów korzystania z „estońskiego CIT”</w:t>
      </w:r>
      <w:r w:rsidR="00D2754C">
        <w:rPr>
          <w:lang w:val="pl-PL"/>
        </w:rPr>
        <w:t xml:space="preserve"> albo całkowitą likwidację tego kryterium;</w:t>
      </w:r>
    </w:p>
    <w:p w:rsidR="0045615C" w:rsidRPr="00BB5813" w:rsidRDefault="0045615C" w:rsidP="00BB5813">
      <w:pPr>
        <w:pStyle w:val="Akapitzlist"/>
        <w:numPr>
          <w:ilvl w:val="2"/>
          <w:numId w:val="1"/>
        </w:numPr>
        <w:rPr>
          <w:lang w:val="pl-PL"/>
        </w:rPr>
      </w:pPr>
      <w:r w:rsidRPr="00BB5813">
        <w:rPr>
          <w:lang w:val="pl-PL"/>
        </w:rPr>
        <w:t xml:space="preserve">Dopuszczenie osób prawnych jako udziałowców spółki korzystającej z </w:t>
      </w:r>
      <w:r w:rsidR="00BB5813">
        <w:rPr>
          <w:lang w:val="pl-PL"/>
        </w:rPr>
        <w:t>„</w:t>
      </w:r>
      <w:r w:rsidRPr="00BB5813">
        <w:rPr>
          <w:lang w:val="pl-PL"/>
        </w:rPr>
        <w:t>estońskiego CIT</w:t>
      </w:r>
      <w:r w:rsidR="00BB5813">
        <w:rPr>
          <w:lang w:val="pl-PL"/>
        </w:rPr>
        <w:t>”</w:t>
      </w:r>
      <w:r w:rsidRPr="00BB5813">
        <w:rPr>
          <w:lang w:val="pl-PL"/>
        </w:rPr>
        <w:t>.</w:t>
      </w:r>
      <w:r w:rsidR="00FC4CA3">
        <w:rPr>
          <w:lang w:val="pl-PL"/>
        </w:rPr>
        <w:br/>
      </w:r>
    </w:p>
    <w:p w:rsidR="0045615C" w:rsidRPr="00E37995" w:rsidRDefault="00D2754C" w:rsidP="0045615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E37995">
        <w:rPr>
          <w:b/>
          <w:bCs/>
          <w:lang w:val="pl-PL"/>
        </w:rPr>
        <w:t>Interpretacje 590</w:t>
      </w:r>
    </w:p>
    <w:p w:rsidR="00D2754C" w:rsidRDefault="00D2754C" w:rsidP="00D2754C">
      <w:pPr>
        <w:pStyle w:val="Akapitzlist"/>
        <w:numPr>
          <w:ilvl w:val="1"/>
          <w:numId w:val="1"/>
        </w:numPr>
        <w:rPr>
          <w:lang w:val="pl-PL"/>
        </w:rPr>
      </w:pPr>
      <w:r w:rsidRPr="00D2754C">
        <w:rPr>
          <w:lang w:val="pl-PL"/>
        </w:rPr>
        <w:t xml:space="preserve">W ramach prezentacji zmian w obszarze podatków, w Polskim Ładzie zaprezentowana została idea tzw. Interpretacji 590, które miałyby być wydawane na rzecz strategicznych inwestorów celem zapewnienia większej pewności sytuacji podatkowej w pierwszych latach inwestycji. </w:t>
      </w:r>
    </w:p>
    <w:p w:rsidR="00D2754C" w:rsidRDefault="00D2754C" w:rsidP="00D2754C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BCC poparło takie rozwiązanie wskazując jednak istotne postulaty zmian w zaproponowanej instytucji:</w:t>
      </w:r>
    </w:p>
    <w:p w:rsidR="00D2754C" w:rsidRPr="00C514BA" w:rsidRDefault="00D2754C" w:rsidP="00C514BA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 xml:space="preserve">Po pierwsze, BCC wskazało, że instrument ten powinien być dostępny dla polskich przedsiębiorców </w:t>
      </w:r>
      <w:r w:rsidR="00C514BA">
        <w:rPr>
          <w:lang w:val="pl-PL"/>
        </w:rPr>
        <w:t xml:space="preserve">(a nie tylko zagranicznych inwestorów jak proponował Rząd). W ocenie BCC </w:t>
      </w:r>
      <w:r w:rsidRPr="00C514BA">
        <w:rPr>
          <w:lang w:val="pl-PL"/>
        </w:rPr>
        <w:t xml:space="preserve">strategicznym inwestorem w Polsce </w:t>
      </w:r>
      <w:r w:rsidR="00C514BA">
        <w:rPr>
          <w:lang w:val="pl-PL"/>
        </w:rPr>
        <w:t>bardzo często jest</w:t>
      </w:r>
      <w:r w:rsidRPr="00C514BA">
        <w:rPr>
          <w:lang w:val="pl-PL"/>
        </w:rPr>
        <w:t xml:space="preserve"> podmiot krajowy, </w:t>
      </w:r>
      <w:r w:rsidR="00C514BA">
        <w:rPr>
          <w:lang w:val="pl-PL"/>
        </w:rPr>
        <w:t>rodzimy przedsiębiorca, dlatego ograniczanie takiego instrumentu wyłącznie do inwestorów zagranicznych nie znajduje uzasadnienia.</w:t>
      </w:r>
    </w:p>
    <w:p w:rsidR="00D2754C" w:rsidRPr="00D2754C" w:rsidRDefault="00C514BA" w:rsidP="00C514BA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Po drugie, konieczne jest zapewnienie r</w:t>
      </w:r>
      <w:r w:rsidR="00D2754C" w:rsidRPr="00D2754C">
        <w:rPr>
          <w:lang w:val="pl-PL"/>
        </w:rPr>
        <w:t>ozsądn</w:t>
      </w:r>
      <w:r>
        <w:rPr>
          <w:lang w:val="pl-PL"/>
        </w:rPr>
        <w:t>ego</w:t>
      </w:r>
      <w:r w:rsidR="00D2754C" w:rsidRPr="00D2754C">
        <w:rPr>
          <w:lang w:val="pl-PL"/>
        </w:rPr>
        <w:t xml:space="preserve"> czas</w:t>
      </w:r>
      <w:r>
        <w:rPr>
          <w:lang w:val="pl-PL"/>
        </w:rPr>
        <w:t>u</w:t>
      </w:r>
      <w:r w:rsidR="00D2754C" w:rsidRPr="00D2754C">
        <w:rPr>
          <w:lang w:val="pl-PL"/>
        </w:rPr>
        <w:t xml:space="preserve"> oczekiwania na wydanie wiążącego instrumentu (</w:t>
      </w:r>
      <w:r>
        <w:rPr>
          <w:lang w:val="pl-PL"/>
        </w:rPr>
        <w:t>maksimum kilka</w:t>
      </w:r>
      <w:r w:rsidR="00D2754C" w:rsidRPr="00D2754C">
        <w:rPr>
          <w:lang w:val="pl-PL"/>
        </w:rPr>
        <w:t xml:space="preserve"> miesięcy)</w:t>
      </w:r>
    </w:p>
    <w:p w:rsidR="00C514BA" w:rsidRDefault="00C514BA" w:rsidP="00C514BA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Po trzecie – instytucja musi zapewnić m</w:t>
      </w:r>
      <w:r w:rsidR="00D2754C" w:rsidRPr="00D2754C">
        <w:rPr>
          <w:lang w:val="pl-PL"/>
        </w:rPr>
        <w:t xml:space="preserve">ożliwie szerokie spektrum podatków jakich może dotyczyć interpretacja  </w:t>
      </w:r>
      <w:r>
        <w:rPr>
          <w:lang w:val="pl-PL"/>
        </w:rPr>
        <w:t>590</w:t>
      </w:r>
    </w:p>
    <w:p w:rsidR="00D2754C" w:rsidRDefault="00C514BA" w:rsidP="00C514BA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Po czwarte – konieczne jest z</w:t>
      </w:r>
      <w:r w:rsidR="00D2754C" w:rsidRPr="00C514BA">
        <w:rPr>
          <w:lang w:val="pl-PL"/>
        </w:rPr>
        <w:t>apewnienie procesu wydawania interpretacji w oparciu o dialog z inwestorem</w:t>
      </w:r>
      <w:r>
        <w:rPr>
          <w:lang w:val="pl-PL"/>
        </w:rPr>
        <w:t xml:space="preserve"> (podobnie jak w przyjętych rozwiązaniach tzw. Programu Współdziałania)</w:t>
      </w:r>
    </w:p>
    <w:p w:rsidR="00D2754C" w:rsidRPr="00C514BA" w:rsidRDefault="00C514BA" w:rsidP="00C514BA">
      <w:pPr>
        <w:pStyle w:val="Akapitzlist"/>
        <w:numPr>
          <w:ilvl w:val="2"/>
          <w:numId w:val="1"/>
        </w:numPr>
        <w:rPr>
          <w:lang w:val="pl-PL"/>
        </w:rPr>
      </w:pPr>
      <w:r w:rsidRPr="00C514BA">
        <w:rPr>
          <w:lang w:val="pl-PL"/>
        </w:rPr>
        <w:t>Po piąte – konieczne jest wprowadzenie r</w:t>
      </w:r>
      <w:r w:rsidR="00D2754C" w:rsidRPr="00C514BA">
        <w:rPr>
          <w:lang w:val="pl-PL"/>
        </w:rPr>
        <w:t>ozsądn</w:t>
      </w:r>
      <w:r w:rsidRPr="00C514BA">
        <w:rPr>
          <w:lang w:val="pl-PL"/>
        </w:rPr>
        <w:t>ych i możliwych</w:t>
      </w:r>
      <w:r w:rsidR="00D2754C" w:rsidRPr="00C514BA">
        <w:rPr>
          <w:lang w:val="pl-PL"/>
        </w:rPr>
        <w:t xml:space="preserve"> do spełnienia warunków do kwalifikacji</w:t>
      </w:r>
      <w:r w:rsidRPr="00C514BA">
        <w:rPr>
          <w:lang w:val="pl-PL"/>
        </w:rPr>
        <w:t xml:space="preserve"> przedsiębiorcy</w:t>
      </w:r>
      <w:r w:rsidR="00D2754C" w:rsidRPr="00C514BA">
        <w:rPr>
          <w:lang w:val="pl-PL"/>
        </w:rPr>
        <w:t xml:space="preserve"> jako strategicznego inwestora</w:t>
      </w:r>
      <w:r w:rsidRPr="00C514BA">
        <w:rPr>
          <w:lang w:val="pl-PL"/>
        </w:rPr>
        <w:t xml:space="preserve"> oraz pewność co do</w:t>
      </w:r>
      <w:r w:rsidR="00D2754C" w:rsidRPr="00C514BA">
        <w:rPr>
          <w:lang w:val="pl-PL"/>
        </w:rPr>
        <w:t xml:space="preserve"> czasu trwania ochrony wynikającej z interpretacji (np. z uwzględnieniem okresu przejściowego do utraty ochrony).</w:t>
      </w:r>
      <w:r w:rsidR="00FC4CA3">
        <w:rPr>
          <w:lang w:val="pl-PL"/>
        </w:rPr>
        <w:br/>
      </w:r>
    </w:p>
    <w:p w:rsidR="003718C5" w:rsidRPr="00E37995" w:rsidRDefault="003718C5" w:rsidP="003718C5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E37995">
        <w:rPr>
          <w:b/>
          <w:bCs/>
          <w:lang w:val="pl-PL"/>
        </w:rPr>
        <w:t>Nowe/rozszerzone ulgi na działalność badawczo-rozwojową i ulga na robotyzację</w:t>
      </w:r>
    </w:p>
    <w:p w:rsidR="003718C5" w:rsidRPr="003718C5" w:rsidRDefault="003718C5" w:rsidP="003718C5">
      <w:pPr>
        <w:pStyle w:val="Akapitzlist"/>
        <w:numPr>
          <w:ilvl w:val="1"/>
          <w:numId w:val="1"/>
        </w:numPr>
        <w:rPr>
          <w:lang w:val="pl-PL"/>
        </w:rPr>
      </w:pPr>
      <w:r w:rsidRPr="003718C5">
        <w:rPr>
          <w:lang w:val="pl-PL"/>
        </w:rPr>
        <w:lastRenderedPageBreak/>
        <w:t xml:space="preserve">Jednym z elementów </w:t>
      </w:r>
      <w:r>
        <w:rPr>
          <w:lang w:val="pl-PL"/>
        </w:rPr>
        <w:t>NŁP</w:t>
      </w:r>
      <w:r w:rsidRPr="003718C5">
        <w:rPr>
          <w:lang w:val="pl-PL"/>
        </w:rPr>
        <w:t xml:space="preserve"> jest wprowadzenie nowych lub rozszerzenie istniejących już ulg na działalność B+R (ulga na prototyp, ulga na innowacyjnych pracowników, symultaniczne korzystanie z ulgi B+R i IP Box) oraz ulgi na robotyzację.</w:t>
      </w:r>
    </w:p>
    <w:p w:rsidR="003718C5" w:rsidRPr="003718C5" w:rsidRDefault="003718C5" w:rsidP="003718C5">
      <w:pPr>
        <w:pStyle w:val="Akapitzlist"/>
        <w:numPr>
          <w:ilvl w:val="1"/>
          <w:numId w:val="1"/>
        </w:numPr>
        <w:rPr>
          <w:lang w:val="pl-PL"/>
        </w:rPr>
      </w:pPr>
      <w:r w:rsidRPr="003718C5">
        <w:rPr>
          <w:lang w:val="pl-PL"/>
        </w:rPr>
        <w:t>Wprowadzenie tych ulg zostało już zapowiedziane w ramach Zielonej Księgi Innowacji (dalej: „ZKI”) przedstawionej do wstępnych konsultacji jesienią ubiegłego roku.</w:t>
      </w:r>
    </w:p>
    <w:p w:rsidR="003718C5" w:rsidRPr="003718C5" w:rsidRDefault="003718C5" w:rsidP="003718C5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 xml:space="preserve">BCC wskazało w tym zakresie, że </w:t>
      </w:r>
      <w:r w:rsidRPr="003718C5">
        <w:rPr>
          <w:lang w:val="pl-PL"/>
        </w:rPr>
        <w:t xml:space="preserve">sam pomysł rozszerzenia funkcjonujących już ulg na działalność B+R, a także wprowadzenie nowego rozwiązania w postaci ulgi na robotyzację jest jak najbardziej dobrym i potrzebnym obecnie pomysłem. </w:t>
      </w:r>
    </w:p>
    <w:p w:rsidR="003718C5" w:rsidRDefault="003718C5" w:rsidP="003718C5">
      <w:pPr>
        <w:pStyle w:val="Akapitzlist"/>
        <w:numPr>
          <w:ilvl w:val="1"/>
          <w:numId w:val="1"/>
        </w:numPr>
        <w:rPr>
          <w:lang w:val="pl-PL"/>
        </w:rPr>
      </w:pPr>
      <w:r w:rsidRPr="003718C5">
        <w:rPr>
          <w:lang w:val="pl-PL"/>
        </w:rPr>
        <w:t>Niemniej</w:t>
      </w:r>
      <w:r>
        <w:rPr>
          <w:lang w:val="pl-PL"/>
        </w:rPr>
        <w:t>, BCC przedstawiło w tym zakresie konkretne uwagi do przedstawionych propozycji</w:t>
      </w:r>
    </w:p>
    <w:p w:rsidR="003718C5" w:rsidRPr="003718C5" w:rsidRDefault="003718C5" w:rsidP="003718C5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Przede wszystkim w ocenie BCC</w:t>
      </w:r>
      <w:r w:rsidRPr="003718C5">
        <w:rPr>
          <w:lang w:val="pl-PL"/>
        </w:rPr>
        <w:t xml:space="preserve"> istotną propozycją </w:t>
      </w:r>
      <w:r>
        <w:rPr>
          <w:lang w:val="pl-PL"/>
        </w:rPr>
        <w:t>NŁP</w:t>
      </w:r>
      <w:r w:rsidRPr="003718C5">
        <w:rPr>
          <w:lang w:val="pl-PL"/>
        </w:rPr>
        <w:t xml:space="preserve">, która negatywnie wpłynie na zakres stosowania wspomnianych ulg podatkowych jest </w:t>
      </w:r>
      <w:r>
        <w:rPr>
          <w:lang w:val="pl-PL"/>
        </w:rPr>
        <w:t xml:space="preserve">proponowane </w:t>
      </w:r>
      <w:r w:rsidRPr="003718C5">
        <w:rPr>
          <w:lang w:val="pl-PL"/>
        </w:rPr>
        <w:t xml:space="preserve">ograniczenie ich stosowania do wielkości przedsiębiorstwa. W ramach propozycji Polskiego Ładu wskazano </w:t>
      </w:r>
      <w:r>
        <w:rPr>
          <w:lang w:val="pl-PL"/>
        </w:rPr>
        <w:t>bowiem</w:t>
      </w:r>
      <w:r w:rsidRPr="003718C5">
        <w:rPr>
          <w:lang w:val="pl-PL"/>
        </w:rPr>
        <w:t>, że:</w:t>
      </w:r>
    </w:p>
    <w:p w:rsidR="003718C5" w:rsidRPr="003718C5" w:rsidRDefault="003718C5" w:rsidP="003718C5">
      <w:pPr>
        <w:pStyle w:val="Akapitzlist"/>
        <w:numPr>
          <w:ilvl w:val="3"/>
          <w:numId w:val="3"/>
        </w:numPr>
        <w:rPr>
          <w:lang w:val="pl-PL"/>
        </w:rPr>
      </w:pPr>
      <w:r w:rsidRPr="003718C5">
        <w:rPr>
          <w:lang w:val="pl-PL"/>
        </w:rPr>
        <w:t>mali przedsiębiorcy skorzystają z ulgi na prototyp,</w:t>
      </w:r>
    </w:p>
    <w:p w:rsidR="003718C5" w:rsidRPr="003718C5" w:rsidRDefault="003718C5" w:rsidP="003718C5">
      <w:pPr>
        <w:pStyle w:val="Akapitzlist"/>
        <w:numPr>
          <w:ilvl w:val="3"/>
          <w:numId w:val="3"/>
        </w:numPr>
        <w:rPr>
          <w:lang w:val="pl-PL"/>
        </w:rPr>
      </w:pPr>
      <w:r w:rsidRPr="003718C5">
        <w:rPr>
          <w:lang w:val="pl-PL"/>
        </w:rPr>
        <w:t>średni przedsiębiorcy skorzystają z ulgi na robotyzację i symultanicznego rozliczenia IP Box i ulgi B+R, a</w:t>
      </w:r>
    </w:p>
    <w:p w:rsidR="003718C5" w:rsidRPr="003718C5" w:rsidRDefault="003718C5" w:rsidP="003718C5">
      <w:pPr>
        <w:pStyle w:val="Akapitzlist"/>
        <w:numPr>
          <w:ilvl w:val="3"/>
          <w:numId w:val="3"/>
        </w:numPr>
        <w:rPr>
          <w:lang w:val="pl-PL"/>
        </w:rPr>
      </w:pPr>
      <w:r w:rsidRPr="003718C5">
        <w:rPr>
          <w:lang w:val="pl-PL"/>
        </w:rPr>
        <w:t>duzi przedsiębiorcy skorzystają z ulgi na innowacyjnych pracowników.</w:t>
      </w:r>
    </w:p>
    <w:p w:rsidR="00D2754C" w:rsidRDefault="003718C5" w:rsidP="003718C5">
      <w:pPr>
        <w:pStyle w:val="Akapitzlist"/>
        <w:numPr>
          <w:ilvl w:val="2"/>
          <w:numId w:val="1"/>
        </w:numPr>
        <w:rPr>
          <w:lang w:val="pl-PL"/>
        </w:rPr>
      </w:pPr>
      <w:r>
        <w:rPr>
          <w:lang w:val="pl-PL"/>
        </w:rPr>
        <w:t>W powyższym zakresie BCC zgłosiło propozycję, aby wszystkie zaproponowane ulgi i preferencje były dostępne dla przedsiębiorców bez względu na ich status (-mikro, - mały, -średni, -duży). W przeciwnym razie, zaproponowane przez Rząd kryteria spowodują efektywnie brak możliwości skorzystania z nich przez przedsiębiorców.</w:t>
      </w:r>
    </w:p>
    <w:p w:rsidR="003718C5" w:rsidRPr="0045615C" w:rsidRDefault="003718C5" w:rsidP="00E37995">
      <w:pPr>
        <w:pStyle w:val="Akapitzlist"/>
        <w:numPr>
          <w:ilvl w:val="1"/>
          <w:numId w:val="1"/>
        </w:numPr>
        <w:rPr>
          <w:lang w:val="pl-PL"/>
        </w:rPr>
      </w:pPr>
      <w:r>
        <w:rPr>
          <w:lang w:val="pl-PL"/>
        </w:rPr>
        <w:t>W powyższym zakresie, przedstawiciele Ministerstwa Rozwoju i Finansów przychylili się do propozycji BCC</w:t>
      </w:r>
      <w:r w:rsidR="00E37995">
        <w:rPr>
          <w:lang w:val="pl-PL"/>
        </w:rPr>
        <w:t>.</w:t>
      </w:r>
    </w:p>
    <w:p w:rsidR="0045615C" w:rsidRPr="00E37995" w:rsidRDefault="0045615C" w:rsidP="00E37995">
      <w:pPr>
        <w:rPr>
          <w:lang w:val="pl-PL"/>
        </w:rPr>
      </w:pPr>
    </w:p>
    <w:sectPr w:rsidR="0045615C" w:rsidRPr="00E37995" w:rsidSect="00C7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11" w:rsidRDefault="00D67C11" w:rsidP="00F94CA6">
      <w:pPr>
        <w:spacing w:after="0" w:line="240" w:lineRule="auto"/>
      </w:pPr>
      <w:r>
        <w:separator/>
      </w:r>
    </w:p>
  </w:endnote>
  <w:endnote w:type="continuationSeparator" w:id="1">
    <w:p w:rsidR="00D67C11" w:rsidRDefault="00D67C11" w:rsidP="00F9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11" w:rsidRDefault="00D67C11" w:rsidP="00F94CA6">
      <w:pPr>
        <w:spacing w:after="0" w:line="240" w:lineRule="auto"/>
      </w:pPr>
      <w:r>
        <w:separator/>
      </w:r>
    </w:p>
  </w:footnote>
  <w:footnote w:type="continuationSeparator" w:id="1">
    <w:p w:rsidR="00D67C11" w:rsidRDefault="00D67C11" w:rsidP="00F9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5847"/>
    <w:multiLevelType w:val="hybridMultilevel"/>
    <w:tmpl w:val="B4C8C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33A0B"/>
    <w:multiLevelType w:val="hybridMultilevel"/>
    <w:tmpl w:val="BF388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D6781"/>
    <w:multiLevelType w:val="hybridMultilevel"/>
    <w:tmpl w:val="FB76A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615C"/>
    <w:rsid w:val="003718C5"/>
    <w:rsid w:val="004557EE"/>
    <w:rsid w:val="0045615C"/>
    <w:rsid w:val="00BB5813"/>
    <w:rsid w:val="00C514BA"/>
    <w:rsid w:val="00C7092A"/>
    <w:rsid w:val="00D2754C"/>
    <w:rsid w:val="00D67C11"/>
    <w:rsid w:val="00E37995"/>
    <w:rsid w:val="00F94CA6"/>
    <w:rsid w:val="00FC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Borowski</dc:creator>
  <cp:lastModifiedBy>Zbyszek</cp:lastModifiedBy>
  <cp:revision>2</cp:revision>
  <dcterms:created xsi:type="dcterms:W3CDTF">2021-06-08T06:52:00Z</dcterms:created>
  <dcterms:modified xsi:type="dcterms:W3CDTF">2021-06-08T06:52:00Z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INTERNAL</vt:lpwstr>
  </property>
  <property fmtid="{D5CDD505-2E9C-101B-9397-08002B2CF9AE}" pid="3" name="TukanITGREENmodClassifiedBy">
    <vt:lpwstr>ACCREOT\mborowski;Michał Borowski</vt:lpwstr>
  </property>
  <property fmtid="{D5CDD505-2E9C-101B-9397-08002B2CF9AE}" pid="4" name="TukanITGREENmodClassificationDate">
    <vt:lpwstr>2021-06-07T18:24:12.2490243+02:00</vt:lpwstr>
  </property>
  <property fmtid="{D5CDD505-2E9C-101B-9397-08002B2CF9AE}" pid="5" name="TukanITGREENmodClassifiedBySID">
    <vt:lpwstr>ACCREOT\S-1-5-21-2689679564-127267201-59131381-2469</vt:lpwstr>
  </property>
  <property fmtid="{D5CDD505-2E9C-101B-9397-08002B2CF9AE}" pid="6" name="TukanITGREENmodGRNItemId">
    <vt:lpwstr>GRN-7ea12f33-22b2-450d-be54-f4378a9fc24d</vt:lpwstr>
  </property>
  <property fmtid="{D5CDD505-2E9C-101B-9397-08002B2CF9AE}" pid="7" name="TukanITGREENmodHash">
    <vt:lpwstr>Dj0Hpv3FW8gx8x8axq32jGpYaAZu2VSL4/BlD+sAB+0=</vt:lpwstr>
  </property>
  <property fmtid="{D5CDD505-2E9C-101B-9397-08002B2CF9AE}" pid="8" name="DLPManualFileClassification">
    <vt:lpwstr>{ec400ec9-b910-4313-8a41-9b60e33b5798}</vt:lpwstr>
  </property>
  <property fmtid="{D5CDD505-2E9C-101B-9397-08002B2CF9AE}" pid="9" name="TukanITGREENmodRefresh">
    <vt:lpwstr>False</vt:lpwstr>
  </property>
</Properties>
</file>