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17E5" w14:textId="7F45E948" w:rsidR="009D7D60" w:rsidRDefault="00457304" w:rsidP="00457304">
      <w:pPr>
        <w:jc w:val="right"/>
        <w:rPr>
          <w:lang w:val="pl-PL"/>
        </w:rPr>
      </w:pPr>
      <w:r>
        <w:rPr>
          <w:lang w:val="pl-PL"/>
        </w:rPr>
        <w:t>Warszawa, 14.01.2026</w:t>
      </w:r>
    </w:p>
    <w:p w14:paraId="5B6D7C22" w14:textId="77777777" w:rsidR="00457304" w:rsidRDefault="00457304" w:rsidP="00A81D2B">
      <w:pPr>
        <w:rPr>
          <w:lang w:val="pl-PL"/>
        </w:rPr>
      </w:pPr>
    </w:p>
    <w:p w14:paraId="3217B91C" w14:textId="77777777" w:rsidR="00457304" w:rsidRPr="00457304" w:rsidRDefault="00457304" w:rsidP="00457304">
      <w:pPr>
        <w:rPr>
          <w:lang w:val="pl-PL"/>
        </w:rPr>
      </w:pPr>
      <w:r w:rsidRPr="00457304">
        <w:rPr>
          <w:b/>
          <w:bCs/>
          <w:lang w:val="pl-PL"/>
        </w:rPr>
        <w:t>Stanowisko Komisji BCC ds. Innowacji i Nowych Technologii</w:t>
      </w:r>
    </w:p>
    <w:p w14:paraId="532546C8" w14:textId="77777777" w:rsidR="00457304" w:rsidRPr="00457304" w:rsidRDefault="00457304" w:rsidP="00457304">
      <w:pPr>
        <w:rPr>
          <w:lang w:val="pl-PL"/>
        </w:rPr>
      </w:pPr>
      <w:r w:rsidRPr="00457304">
        <w:rPr>
          <w:b/>
          <w:bCs/>
          <w:lang w:val="pl-PL"/>
        </w:rPr>
        <w:t>w sprawie odroczenia terminu wdrożenia Krajowego Systemu e-Faktur (</w:t>
      </w:r>
      <w:proofErr w:type="spellStart"/>
      <w:r w:rsidRPr="00457304">
        <w:rPr>
          <w:b/>
          <w:bCs/>
          <w:lang w:val="pl-PL"/>
        </w:rPr>
        <w:t>KSeF</w:t>
      </w:r>
      <w:proofErr w:type="spellEnd"/>
      <w:r w:rsidRPr="00457304">
        <w:rPr>
          <w:b/>
          <w:bCs/>
          <w:lang w:val="pl-PL"/>
        </w:rPr>
        <w:t>)</w:t>
      </w:r>
    </w:p>
    <w:p w14:paraId="581937CD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Komisja BCC ds. Innowacji i Nowych Technologii, analizując aktualną sytuację gospodarczą oraz uwarunkowania geopolityczne i technologiczne, wyraża poważne zaniepokojenie planowanym terminem wdrożenia Krajowego Systemu e-Faktur (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>).</w:t>
      </w:r>
    </w:p>
    <w:p w14:paraId="5A7EA8CF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 xml:space="preserve">W obecnych realiach Polska funkcjonuje w warunkach podwyższonej niestabilności międzynarodowej, wynikającej m.in. z trwających działań wojennych za wschodnią granicą kraju. Sytuacja ta przekłada się bezpośrednio na wzrost ryzyka w obszarze </w:t>
      </w:r>
      <w:proofErr w:type="spellStart"/>
      <w:r w:rsidRPr="00457304">
        <w:rPr>
          <w:lang w:val="pl-PL"/>
        </w:rPr>
        <w:t>cyberbezpieczeństwa</w:t>
      </w:r>
      <w:proofErr w:type="spellEnd"/>
      <w:r w:rsidRPr="00457304">
        <w:rPr>
          <w:lang w:val="pl-PL"/>
        </w:rPr>
        <w:t>, w tym zagrożeń o charakterze systemowym, które mogą dotknąć infrastrukturę krytyczną państwa oraz kluczowe systemy informatyczne obsługujące przedsiębiorców.</w:t>
      </w:r>
    </w:p>
    <w:p w14:paraId="481EF846" w14:textId="77777777" w:rsidR="00457304" w:rsidRPr="00457304" w:rsidRDefault="00457304" w:rsidP="00457304">
      <w:pPr>
        <w:numPr>
          <w:ilvl w:val="0"/>
          <w:numId w:val="3"/>
        </w:numPr>
        <w:rPr>
          <w:lang w:val="pl-PL"/>
        </w:rPr>
      </w:pPr>
      <w:r w:rsidRPr="00457304">
        <w:rPr>
          <w:b/>
          <w:bCs/>
          <w:u w:val="single"/>
          <w:lang w:val="pl-PL"/>
        </w:rPr>
        <w:t xml:space="preserve">Wrażliwość danych przetwarzanych w </w:t>
      </w:r>
      <w:proofErr w:type="spellStart"/>
      <w:r w:rsidRPr="00457304">
        <w:rPr>
          <w:b/>
          <w:bCs/>
          <w:u w:val="single"/>
          <w:lang w:val="pl-PL"/>
        </w:rPr>
        <w:t>KSeF</w:t>
      </w:r>
      <w:proofErr w:type="spellEnd"/>
      <w:r w:rsidRPr="00457304">
        <w:rPr>
          <w:b/>
          <w:bCs/>
          <w:u w:val="single"/>
          <w:lang w:val="pl-PL"/>
        </w:rPr>
        <w:t xml:space="preserve"> oraz ryzyka dla bezpieczeństwa gospodarczego i państwa</w:t>
      </w:r>
      <w:r w:rsidRPr="00457304">
        <w:rPr>
          <w:u w:val="single"/>
          <w:lang w:val="pl-PL"/>
        </w:rPr>
        <w:t> </w:t>
      </w:r>
    </w:p>
    <w:p w14:paraId="67275E8F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 xml:space="preserve">Komisja zwraca uwagę, że dane przetwarzane w ramach Krajowego Systemu e-Faktur nie ograniczają się wyłącznie do informacji stanowiących tajemnicę przedsiębiorstw w rozumieniu przepisów prawa cywilnego i handlowego. W praktyce system 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 xml:space="preserve"> obejmuje również dane o charakterze szczególnie wrażliwym, które ze względu na swój zakres i kontekst mogą podlegać ochronie z uwagi na bezpieczeństwo państwa. </w:t>
      </w:r>
    </w:p>
    <w:p w14:paraId="6C637893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Zakres przetwarzanych danych obejmujący m.in.:</w:t>
      </w:r>
    </w:p>
    <w:p w14:paraId="3F159D6F" w14:textId="77777777" w:rsidR="00457304" w:rsidRPr="00457304" w:rsidRDefault="00457304" w:rsidP="00457304">
      <w:pPr>
        <w:numPr>
          <w:ilvl w:val="0"/>
          <w:numId w:val="4"/>
        </w:numPr>
        <w:rPr>
          <w:lang w:val="pl-PL"/>
        </w:rPr>
      </w:pPr>
      <w:r w:rsidRPr="00457304">
        <w:rPr>
          <w:lang w:val="pl-PL"/>
        </w:rPr>
        <w:t>katalog sprzedawanych produktów i usług,</w:t>
      </w:r>
    </w:p>
    <w:p w14:paraId="3B4572E2" w14:textId="77777777" w:rsidR="00457304" w:rsidRPr="00457304" w:rsidRDefault="00457304" w:rsidP="00457304">
      <w:pPr>
        <w:numPr>
          <w:ilvl w:val="0"/>
          <w:numId w:val="4"/>
        </w:numPr>
        <w:rPr>
          <w:lang w:val="pl-PL"/>
        </w:rPr>
      </w:pPr>
      <w:r w:rsidRPr="00457304">
        <w:rPr>
          <w:lang w:val="pl-PL"/>
        </w:rPr>
        <w:t>ceny, rabaty, warunki handlowe i wolumeny,</w:t>
      </w:r>
    </w:p>
    <w:p w14:paraId="72550D7B" w14:textId="77777777" w:rsidR="00457304" w:rsidRPr="00457304" w:rsidRDefault="00457304" w:rsidP="00457304">
      <w:pPr>
        <w:numPr>
          <w:ilvl w:val="0"/>
          <w:numId w:val="4"/>
        </w:numPr>
        <w:rPr>
          <w:lang w:val="pl-PL"/>
        </w:rPr>
      </w:pPr>
      <w:r w:rsidRPr="00457304">
        <w:rPr>
          <w:lang w:val="pl-PL"/>
        </w:rPr>
        <w:t>adresy i dane identyfikujące podmioty,</w:t>
      </w:r>
    </w:p>
    <w:p w14:paraId="43F32F87" w14:textId="77777777" w:rsidR="00457304" w:rsidRPr="00457304" w:rsidRDefault="00457304" w:rsidP="00457304">
      <w:pPr>
        <w:numPr>
          <w:ilvl w:val="0"/>
          <w:numId w:val="4"/>
        </w:numPr>
        <w:rPr>
          <w:lang w:val="pl-PL"/>
        </w:rPr>
      </w:pPr>
      <w:r w:rsidRPr="00457304">
        <w:rPr>
          <w:lang w:val="pl-PL"/>
        </w:rPr>
        <w:t>a także relacje handlowe i mapę kontrahentów (sieci dostaw i odbiorców).</w:t>
      </w:r>
    </w:p>
    <w:p w14:paraId="63733405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dotyczący w szczególności faktur dokumentujących zamówienia na towary i usługi realizowane na rzecz:</w:t>
      </w:r>
    </w:p>
    <w:p w14:paraId="559F85D2" w14:textId="77777777" w:rsidR="00457304" w:rsidRPr="00457304" w:rsidRDefault="00457304" w:rsidP="00457304">
      <w:pPr>
        <w:numPr>
          <w:ilvl w:val="0"/>
          <w:numId w:val="5"/>
        </w:numPr>
        <w:rPr>
          <w:lang w:val="pl-PL"/>
        </w:rPr>
      </w:pPr>
      <w:r w:rsidRPr="00457304">
        <w:rPr>
          <w:lang w:val="pl-PL"/>
        </w:rPr>
        <w:t>Sił Zbrojnych Rzeczypospolitej Polskiej,</w:t>
      </w:r>
    </w:p>
    <w:p w14:paraId="63DDB99B" w14:textId="77777777" w:rsidR="00457304" w:rsidRPr="00457304" w:rsidRDefault="00457304" w:rsidP="00457304">
      <w:pPr>
        <w:numPr>
          <w:ilvl w:val="0"/>
          <w:numId w:val="5"/>
        </w:numPr>
        <w:rPr>
          <w:lang w:val="pl-PL"/>
        </w:rPr>
      </w:pPr>
      <w:r w:rsidRPr="00457304">
        <w:rPr>
          <w:lang w:val="pl-PL"/>
        </w:rPr>
        <w:t>agencji rządowych i służb państwowych,</w:t>
      </w:r>
    </w:p>
    <w:p w14:paraId="4C2653DD" w14:textId="77777777" w:rsidR="00457304" w:rsidRPr="00457304" w:rsidRDefault="00457304" w:rsidP="00457304">
      <w:pPr>
        <w:numPr>
          <w:ilvl w:val="0"/>
          <w:numId w:val="5"/>
        </w:numPr>
        <w:rPr>
          <w:lang w:val="pl-PL"/>
        </w:rPr>
      </w:pPr>
      <w:r w:rsidRPr="00457304">
        <w:rPr>
          <w:lang w:val="pl-PL"/>
        </w:rPr>
        <w:t>podmiotów realizujących zadania z zakresu infrastruktury krytycznej,</w:t>
      </w:r>
    </w:p>
    <w:p w14:paraId="756C15FB" w14:textId="77777777" w:rsidR="00457304" w:rsidRPr="00457304" w:rsidRDefault="00457304" w:rsidP="00457304">
      <w:pPr>
        <w:numPr>
          <w:ilvl w:val="0"/>
          <w:numId w:val="5"/>
        </w:numPr>
        <w:rPr>
          <w:lang w:val="pl-PL"/>
        </w:rPr>
      </w:pPr>
      <w:r w:rsidRPr="00457304">
        <w:rPr>
          <w:lang w:val="pl-PL"/>
        </w:rPr>
        <w:t>dostaw strategicznych, w tym sprzętu, oprogramowania, usług logistycznych oraz usług o znaczeniu obronnym i bezpieczeństwa.</w:t>
      </w:r>
    </w:p>
    <w:p w14:paraId="4E943013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może ujawniać informacje dotyczące zakresu, skali, częstotliwości oraz struktury zamówień, a także relacji pomiędzy podmiotami zaangażowanymi w realizację zadań państwowych. Centralizacja takich danych w jednym systemie informatycznym znacząco podnosi ich atrakcyjność jako celu potencjalnych ataków cybernetycznych, działań wywiadowczych lub sabotażowych.</w:t>
      </w:r>
    </w:p>
    <w:p w14:paraId="26052657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lastRenderedPageBreak/>
        <w:t>Komisja podkreśla, że ewentualne nieuprawnione ujawnienie lub analiza tego typu danych może prowadzić nie tylko do szkód gospodarczych po stronie przedsiębiorców, lecz również do zagrożeń o charakterze strategicznym, wpływających na bezpieczeństwo i stabilność państwa.</w:t>
      </w:r>
    </w:p>
    <w:p w14:paraId="2E9C9E7D" w14:textId="77777777" w:rsidR="00457304" w:rsidRPr="00457304" w:rsidRDefault="00457304" w:rsidP="00457304">
      <w:pPr>
        <w:numPr>
          <w:ilvl w:val="0"/>
          <w:numId w:val="6"/>
        </w:numPr>
        <w:rPr>
          <w:b/>
          <w:bCs/>
          <w:lang w:val="pl-PL"/>
        </w:rPr>
      </w:pPr>
      <w:r w:rsidRPr="00457304">
        <w:rPr>
          <w:b/>
          <w:bCs/>
          <w:u w:val="single"/>
          <w:lang w:val="pl-PL"/>
        </w:rPr>
        <w:t xml:space="preserve">Niejasność zasad dostępu, brak spójnych procedur oraz ryzyka systemowe związane z bezpieczeństwem </w:t>
      </w:r>
      <w:proofErr w:type="spellStart"/>
      <w:r w:rsidRPr="00457304">
        <w:rPr>
          <w:b/>
          <w:bCs/>
          <w:u w:val="single"/>
          <w:lang w:val="pl-PL"/>
        </w:rPr>
        <w:t>KSeF</w:t>
      </w:r>
      <w:proofErr w:type="spellEnd"/>
    </w:p>
    <w:p w14:paraId="4978F4CE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 xml:space="preserve">Komisja wyraża istotne zaniepokojenie brakiem pełnej przejrzystości w zakresie zasad dostępu do danych przetwarzanych w 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 xml:space="preserve">, zarówno po stronie administracji publicznej, jak i podmiotów trzecich, w tym dostawców technologicznych oraz firm integrujących swoje systemy z 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>.</w:t>
      </w:r>
    </w:p>
    <w:p w14:paraId="4054630B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W szczególności nie jest obecnie jasne:</w:t>
      </w:r>
    </w:p>
    <w:p w14:paraId="00687F88" w14:textId="77777777" w:rsidR="00457304" w:rsidRPr="00457304" w:rsidRDefault="00457304" w:rsidP="00457304">
      <w:pPr>
        <w:numPr>
          <w:ilvl w:val="0"/>
          <w:numId w:val="7"/>
        </w:numPr>
        <w:rPr>
          <w:lang w:val="pl-PL"/>
        </w:rPr>
      </w:pPr>
      <w:r w:rsidRPr="00457304">
        <w:rPr>
          <w:lang w:val="pl-PL"/>
        </w:rPr>
        <w:t>jakie role i uprawnienia przysługują poszczególnym kategoriom użytkowników mających dostęp do danych,</w:t>
      </w:r>
    </w:p>
    <w:p w14:paraId="43F1326A" w14:textId="77777777" w:rsidR="00457304" w:rsidRPr="00457304" w:rsidRDefault="00457304" w:rsidP="00457304">
      <w:pPr>
        <w:numPr>
          <w:ilvl w:val="0"/>
          <w:numId w:val="7"/>
        </w:numPr>
        <w:rPr>
          <w:lang w:val="pl-PL"/>
        </w:rPr>
      </w:pPr>
      <w:r w:rsidRPr="00457304">
        <w:rPr>
          <w:lang w:val="pl-PL"/>
        </w:rPr>
        <w:t>w jaki sposób realizowany jest dostęp pracowników administracji oraz osób trzecich do danych fakturowych,</w:t>
      </w:r>
    </w:p>
    <w:p w14:paraId="1727D438" w14:textId="77777777" w:rsidR="00457304" w:rsidRPr="00457304" w:rsidRDefault="00457304" w:rsidP="00457304">
      <w:pPr>
        <w:numPr>
          <w:ilvl w:val="0"/>
          <w:numId w:val="7"/>
        </w:numPr>
        <w:rPr>
          <w:lang w:val="pl-PL"/>
        </w:rPr>
      </w:pPr>
      <w:r w:rsidRPr="00457304">
        <w:rPr>
          <w:lang w:val="pl-PL"/>
        </w:rPr>
        <w:t>jakie procedury obowiązują w zakresie eksportu danych, ich przetwarzania, archiwizacji oraz integracji z innymi systemami informatycznymi.</w:t>
      </w:r>
    </w:p>
    <w:p w14:paraId="6E0523AF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Brak jednoznacznie określonych, publicznie znanych i podlegających rewizjom procedur w tym zakresie generuje istotne ryzyko nieuprawnionego dostępu, nadużyć oraz wycieków danych, obejmujących zarówno tajemnice handlowe przedsiębiorców, jak i informacje wrażliwe z punktu widzenia interesów państwa.</w:t>
      </w:r>
    </w:p>
    <w:p w14:paraId="5636EB61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Dodatkowo Komisja zwraca uwagę na brak informacji dotyczących:</w:t>
      </w:r>
    </w:p>
    <w:p w14:paraId="13F0DD5B" w14:textId="77777777" w:rsidR="00457304" w:rsidRPr="00457304" w:rsidRDefault="00457304" w:rsidP="00457304">
      <w:pPr>
        <w:numPr>
          <w:ilvl w:val="0"/>
          <w:numId w:val="8"/>
        </w:numPr>
        <w:rPr>
          <w:lang w:val="pl-PL"/>
        </w:rPr>
      </w:pPr>
      <w:r w:rsidRPr="00457304">
        <w:rPr>
          <w:lang w:val="pl-PL"/>
        </w:rPr>
        <w:t xml:space="preserve">systemowych programów szkoleń oraz podnoszenia świadomości </w:t>
      </w:r>
      <w:proofErr w:type="spellStart"/>
      <w:r w:rsidRPr="00457304">
        <w:rPr>
          <w:lang w:val="pl-PL"/>
        </w:rPr>
        <w:t>cyberbezpieczeństwa</w:t>
      </w:r>
      <w:proofErr w:type="spellEnd"/>
      <w:r w:rsidRPr="00457304">
        <w:rPr>
          <w:lang w:val="pl-PL"/>
        </w:rPr>
        <w:t xml:space="preserve"> wśród pracowników mających dostęp do danych w 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>,</w:t>
      </w:r>
    </w:p>
    <w:p w14:paraId="1A689BDE" w14:textId="77777777" w:rsidR="00457304" w:rsidRPr="00457304" w:rsidRDefault="00457304" w:rsidP="00457304">
      <w:pPr>
        <w:numPr>
          <w:ilvl w:val="0"/>
          <w:numId w:val="8"/>
        </w:numPr>
        <w:rPr>
          <w:lang w:val="pl-PL"/>
        </w:rPr>
      </w:pPr>
      <w:r w:rsidRPr="00457304">
        <w:rPr>
          <w:lang w:val="pl-PL"/>
        </w:rPr>
        <w:t>standardów weryfikacji kompetencji i odpowiedzialności osób przetwarzających te dane.</w:t>
      </w:r>
    </w:p>
    <w:p w14:paraId="3A3042C7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Nie przygotowanie organizacyjne i niedostateczna świadomość zagrożeń po stronie personelu znacząco zwiększają podatność systemu na ataki socjotechniczne, sabotaż wewnętrzny oraz działania hybrydowe.</w:t>
      </w:r>
    </w:p>
    <w:p w14:paraId="687EAFCC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 xml:space="preserve">Komisja wskazuje również na brak jasno określonych i obowiązkowych wymogów bezpieczeństwa dla podmiotów integrujących swoje systemy z 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>. Firmy te, jako element łańcucha przetwarzania danych, mogą stanowić najsłabsze ogniwo całego ekosystemu i potencjalne źródło incydentów bezpieczeństwa, prowadzących do masowych naruszeń poufności danych, za które konsekwencję będą ponoszone przez polskie podmioty biznesowe. </w:t>
      </w:r>
    </w:p>
    <w:p w14:paraId="5F2B0757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br/>
      </w:r>
    </w:p>
    <w:p w14:paraId="10C57378" w14:textId="77777777" w:rsidR="00457304" w:rsidRPr="00457304" w:rsidRDefault="00457304" w:rsidP="00457304">
      <w:pPr>
        <w:numPr>
          <w:ilvl w:val="0"/>
          <w:numId w:val="9"/>
        </w:numPr>
        <w:rPr>
          <w:b/>
          <w:bCs/>
          <w:lang w:val="pl-PL"/>
        </w:rPr>
      </w:pPr>
      <w:r w:rsidRPr="00457304">
        <w:rPr>
          <w:b/>
          <w:bCs/>
          <w:u w:val="single"/>
          <w:lang w:val="pl-PL"/>
        </w:rPr>
        <w:t>Ryzyka systemowe i dotychczasowe doświadczenia z gotowością i bezpieczeństwem</w:t>
      </w:r>
    </w:p>
    <w:p w14:paraId="01EB746D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lastRenderedPageBreak/>
        <w:t xml:space="preserve">Komisja podkreśla, że administracja publiczna sama wskazywała w przeszłości na konieczność przesuwania terminów wdrożenia 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>, m.in. z uwagi na występowanie błędów krytycznych oraz potrzebę uporządkowania procesu wdrożeniowego i konsultacji z rynkiem.</w:t>
      </w:r>
    </w:p>
    <w:p w14:paraId="40DE250E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Okoliczności te potwierdzają, że przy tak scentralizowanym rozwiązaniu priorytetem powinna być pełna odporność systemu oraz zapewnienie odpowiedniego poziomu dojrzałości organizacyjnej i technologicznej po stronie przedsiębiorców.</w:t>
      </w:r>
    </w:p>
    <w:p w14:paraId="2540716B" w14:textId="77777777" w:rsidR="00457304" w:rsidRPr="00457304" w:rsidRDefault="00457304" w:rsidP="00457304">
      <w:pPr>
        <w:numPr>
          <w:ilvl w:val="0"/>
          <w:numId w:val="10"/>
        </w:numPr>
        <w:rPr>
          <w:b/>
          <w:bCs/>
          <w:lang w:val="pl-PL"/>
        </w:rPr>
      </w:pPr>
      <w:r w:rsidRPr="00457304">
        <w:rPr>
          <w:b/>
          <w:bCs/>
          <w:u w:val="single"/>
          <w:lang w:val="pl-PL"/>
        </w:rPr>
        <w:t>Głos interesariuszy – apel o ostrożność i rozłożenie zmian w czasie</w:t>
      </w:r>
    </w:p>
    <w:p w14:paraId="344BCC7F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 xml:space="preserve">Komisja zwraca uwagę, że analogiczne obawy dotyczące wpływu 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 xml:space="preserve"> na warunki prowadzenia działalności gospodarczej były publicznie sygnalizowane przez instytucje reprezentujące interesy przedsiębiorców. Przykładowo, Rzecznik Małych i Średnich Przedsiębiorców apelował o podejście ograniczające negatywne skutki regulacyjne oraz uwzględniające realne obciążenia wdrożeniowe po stronie firm.</w:t>
      </w:r>
    </w:p>
    <w:p w14:paraId="5AF0E792" w14:textId="77777777" w:rsidR="00457304" w:rsidRPr="00457304" w:rsidRDefault="00457304" w:rsidP="00457304">
      <w:pPr>
        <w:numPr>
          <w:ilvl w:val="0"/>
          <w:numId w:val="11"/>
        </w:numPr>
        <w:rPr>
          <w:b/>
          <w:bCs/>
          <w:lang w:val="pl-PL"/>
        </w:rPr>
      </w:pPr>
      <w:r w:rsidRPr="00457304">
        <w:rPr>
          <w:b/>
          <w:bCs/>
          <w:u w:val="single"/>
          <w:lang w:val="pl-PL"/>
        </w:rPr>
        <w:t>Kontekst międzynarodowy – doświadczenia państw Unii Europejskiej</w:t>
      </w:r>
    </w:p>
    <w:p w14:paraId="66F0B829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 xml:space="preserve">Analiza praktyk stosowanych w państwach Unii Europejskiej wskazuje, że pełna centralizacja fakturowania w modelu zbliżonym do 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 xml:space="preserve"> stanowi wyjątek, a nie standard.</w:t>
      </w:r>
    </w:p>
    <w:p w14:paraId="3BD5DADB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Jedynym państwem członkowskim UE, w którym obowiązkowy, centralny system e-fakturowania został w pełni wdrożony na szeroką skalę, są Włochy. System ten był wprowadzany etapami przez wiele lat, w warunkach stabilności geopolitycznej, a jego wdrożenie wiązało się z licznymi korektami, okresami przejściowymi oraz dostosowaniami po stronie administracji i przedsiębiorców.</w:t>
      </w:r>
    </w:p>
    <w:p w14:paraId="1639D4DC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Pozostałe państwa UE stosują modele zdecentralizowane lub hybrydowe. Przykładowo:</w:t>
      </w:r>
    </w:p>
    <w:p w14:paraId="43A7B278" w14:textId="77777777" w:rsidR="00457304" w:rsidRPr="00457304" w:rsidRDefault="00457304" w:rsidP="00457304">
      <w:pPr>
        <w:numPr>
          <w:ilvl w:val="0"/>
          <w:numId w:val="12"/>
        </w:numPr>
        <w:rPr>
          <w:lang w:val="pl-PL"/>
        </w:rPr>
      </w:pPr>
      <w:r w:rsidRPr="00457304">
        <w:rPr>
          <w:lang w:val="pl-PL"/>
        </w:rPr>
        <w:t>Francja zdecydowała się na model platform certyfikowanych (PDP) oraz państwowego portalu raportowego, przy czym obowiązek powszechny został odłożony do lat 2026–2027, z długim okresem przejściowym;</w:t>
      </w:r>
    </w:p>
    <w:p w14:paraId="1376886D" w14:textId="77777777" w:rsidR="00457304" w:rsidRPr="00457304" w:rsidRDefault="00457304" w:rsidP="00457304">
      <w:pPr>
        <w:numPr>
          <w:ilvl w:val="0"/>
          <w:numId w:val="12"/>
        </w:numPr>
        <w:rPr>
          <w:lang w:val="pl-PL"/>
        </w:rPr>
      </w:pPr>
      <w:r w:rsidRPr="00457304">
        <w:rPr>
          <w:lang w:val="pl-PL"/>
        </w:rPr>
        <w:t>Niemcy wprowadziły obowiązek odbioru e-faktur od 2025 r., natomiast obowiązek ich wystawiania został rozłożony etapowo aż do lat 2027–2028;</w:t>
      </w:r>
    </w:p>
    <w:p w14:paraId="455C877A" w14:textId="77777777" w:rsidR="00457304" w:rsidRPr="00457304" w:rsidRDefault="00457304" w:rsidP="00457304">
      <w:pPr>
        <w:numPr>
          <w:ilvl w:val="0"/>
          <w:numId w:val="12"/>
        </w:numPr>
        <w:rPr>
          <w:lang w:val="pl-PL"/>
        </w:rPr>
      </w:pPr>
      <w:r w:rsidRPr="00457304">
        <w:rPr>
          <w:lang w:val="pl-PL"/>
        </w:rPr>
        <w:t xml:space="preserve">Belgia, kraje skandynawskie oraz Holandia stosują zdecentralizowany model oparty o standard </w:t>
      </w:r>
      <w:proofErr w:type="spellStart"/>
      <w:r w:rsidRPr="00457304">
        <w:rPr>
          <w:lang w:val="pl-PL"/>
        </w:rPr>
        <w:t>Peppol</w:t>
      </w:r>
      <w:proofErr w:type="spellEnd"/>
      <w:r w:rsidRPr="00457304">
        <w:rPr>
          <w:lang w:val="pl-PL"/>
        </w:rPr>
        <w:t>, bez centralnego gromadzenia pełnych danych handlowych przez państwo.</w:t>
      </w:r>
    </w:p>
    <w:p w14:paraId="09C630E9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Jednocześnie pakiet legislacyjny UE „VAT in the Digital Age” (</w:t>
      </w:r>
      <w:proofErr w:type="spellStart"/>
      <w:r w:rsidRPr="00457304">
        <w:rPr>
          <w:lang w:val="pl-PL"/>
        </w:rPr>
        <w:t>ViDA</w:t>
      </w:r>
      <w:proofErr w:type="spellEnd"/>
      <w:r w:rsidRPr="00457304">
        <w:rPr>
          <w:lang w:val="pl-PL"/>
        </w:rPr>
        <w:t>) przewiduje obowiązek stosowania ustrukturyzowanych e-faktur dopiero od 2030 r., pozostawiając państwom członkowskim swobodę co do modelu technicznego i harmonogramu wdrożenia.</w:t>
      </w:r>
    </w:p>
    <w:p w14:paraId="134F091A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Powyższe przykłady jednoznacznie wskazują, że państwa UE zapewniają przedsiębiorcom wieloletnie okresy przygotowawcze oraz wdrażają tego typu rozwiązania w warunkach stabilności gospodarczej i politycznej.</w:t>
      </w:r>
    </w:p>
    <w:p w14:paraId="5A1CF599" w14:textId="77777777" w:rsidR="00457304" w:rsidRPr="00457304" w:rsidRDefault="00457304" w:rsidP="00457304">
      <w:pPr>
        <w:rPr>
          <w:lang w:val="pl-PL"/>
        </w:rPr>
      </w:pPr>
      <w:r w:rsidRPr="00457304">
        <w:rPr>
          <w:b/>
          <w:bCs/>
          <w:lang w:val="pl-PL"/>
        </w:rPr>
        <w:t>Postulat Komisji</w:t>
      </w:r>
    </w:p>
    <w:p w14:paraId="2406CF8B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lastRenderedPageBreak/>
        <w:t>Mając na uwadze powyższe argumenty, Komisja BCC ds. Innowacji i Nowych Technologii postuluje:</w:t>
      </w:r>
    </w:p>
    <w:p w14:paraId="3454BC9F" w14:textId="77777777" w:rsidR="00457304" w:rsidRPr="00457304" w:rsidRDefault="00457304" w:rsidP="00457304">
      <w:pPr>
        <w:numPr>
          <w:ilvl w:val="0"/>
          <w:numId w:val="13"/>
        </w:numPr>
        <w:rPr>
          <w:lang w:val="pl-PL"/>
        </w:rPr>
      </w:pPr>
      <w:r w:rsidRPr="00457304">
        <w:rPr>
          <w:lang w:val="pl-PL"/>
        </w:rPr>
        <w:t xml:space="preserve">odroczenie obowiązkowego wdrożenia 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 xml:space="preserve"> co najmniej do czasu istotnej stabilizacji sytuacji geopolitycznej w regionie;</w:t>
      </w:r>
    </w:p>
    <w:p w14:paraId="31D4F149" w14:textId="77777777" w:rsidR="00457304" w:rsidRPr="00457304" w:rsidRDefault="00457304" w:rsidP="00457304">
      <w:pPr>
        <w:numPr>
          <w:ilvl w:val="0"/>
          <w:numId w:val="13"/>
        </w:numPr>
        <w:rPr>
          <w:lang w:val="pl-PL"/>
        </w:rPr>
      </w:pPr>
      <w:r w:rsidRPr="00457304">
        <w:rPr>
          <w:lang w:val="pl-PL"/>
        </w:rPr>
        <w:t xml:space="preserve">przeprowadzenie pogłębionej analizy </w:t>
      </w:r>
      <w:proofErr w:type="spellStart"/>
      <w:r w:rsidRPr="00457304">
        <w:rPr>
          <w:lang w:val="pl-PL"/>
        </w:rPr>
        <w:t>ryzyk</w:t>
      </w:r>
      <w:proofErr w:type="spellEnd"/>
      <w:r w:rsidRPr="00457304">
        <w:rPr>
          <w:lang w:val="pl-PL"/>
        </w:rPr>
        <w:t xml:space="preserve"> </w:t>
      </w:r>
      <w:proofErr w:type="spellStart"/>
      <w:r w:rsidRPr="00457304">
        <w:rPr>
          <w:lang w:val="pl-PL"/>
        </w:rPr>
        <w:t>cyberbezpieczeństwa</w:t>
      </w:r>
      <w:proofErr w:type="spellEnd"/>
      <w:r w:rsidRPr="00457304">
        <w:rPr>
          <w:lang w:val="pl-PL"/>
        </w:rPr>
        <w:t>, ze szczególnym uwzględnieniem skutków potencjalnego ujawnienia danych handlowych;</w:t>
      </w:r>
    </w:p>
    <w:p w14:paraId="513948F9" w14:textId="77777777" w:rsidR="00457304" w:rsidRPr="00457304" w:rsidRDefault="00457304" w:rsidP="00457304">
      <w:pPr>
        <w:numPr>
          <w:ilvl w:val="0"/>
          <w:numId w:val="13"/>
        </w:numPr>
        <w:rPr>
          <w:lang w:val="pl-PL"/>
        </w:rPr>
      </w:pPr>
      <w:r w:rsidRPr="00457304">
        <w:rPr>
          <w:lang w:val="pl-PL"/>
        </w:rPr>
        <w:t>utrzymanie i rozwijanie trybu pilotażowego oraz dobrowolnego;</w:t>
      </w:r>
    </w:p>
    <w:p w14:paraId="1DB14EED" w14:textId="77777777" w:rsidR="00457304" w:rsidRPr="00457304" w:rsidRDefault="00457304" w:rsidP="00457304">
      <w:pPr>
        <w:numPr>
          <w:ilvl w:val="0"/>
          <w:numId w:val="13"/>
        </w:numPr>
        <w:rPr>
          <w:lang w:val="pl-PL"/>
        </w:rPr>
      </w:pPr>
      <w:r w:rsidRPr="00457304">
        <w:rPr>
          <w:lang w:val="pl-PL"/>
        </w:rPr>
        <w:t>opublikowanie mierzalnych kryteriów dotyczących bezpieczeństwa informacji dla podmiotów świadczących usługi integracyjne z KSEF;</w:t>
      </w:r>
    </w:p>
    <w:p w14:paraId="362DA51A" w14:textId="77777777" w:rsidR="00457304" w:rsidRPr="00457304" w:rsidRDefault="00457304" w:rsidP="00457304">
      <w:pPr>
        <w:numPr>
          <w:ilvl w:val="0"/>
          <w:numId w:val="13"/>
        </w:numPr>
        <w:rPr>
          <w:lang w:val="pl-PL"/>
        </w:rPr>
      </w:pPr>
      <w:r w:rsidRPr="00457304">
        <w:rPr>
          <w:lang w:val="pl-PL"/>
        </w:rPr>
        <w:t>opublikowanie mierzalnych kryteriów gotowości systemu i rynku, warunkujących wejście w obowiązek powszechny.</w:t>
      </w:r>
    </w:p>
    <w:p w14:paraId="1023A978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 xml:space="preserve">Komisja deklaruje gotowość do dalszej współpracy eksperckiej w celu wypracowania bezpiecznego i odpowiedzialnego harmonogramu wdrożenia </w:t>
      </w:r>
      <w:proofErr w:type="spellStart"/>
      <w:r w:rsidRPr="00457304">
        <w:rPr>
          <w:lang w:val="pl-PL"/>
        </w:rPr>
        <w:t>KSeF</w:t>
      </w:r>
      <w:proofErr w:type="spellEnd"/>
      <w:r w:rsidRPr="00457304">
        <w:rPr>
          <w:lang w:val="pl-PL"/>
        </w:rPr>
        <w:t>.</w:t>
      </w:r>
    </w:p>
    <w:p w14:paraId="43291DF6" w14:textId="77777777" w:rsidR="00457304" w:rsidRPr="00457304" w:rsidRDefault="00457304" w:rsidP="00457304">
      <w:pPr>
        <w:rPr>
          <w:lang w:val="pl-PL"/>
        </w:rPr>
      </w:pPr>
    </w:p>
    <w:p w14:paraId="1B6F3724" w14:textId="77777777" w:rsidR="00457304" w:rsidRPr="00457304" w:rsidRDefault="00457304" w:rsidP="00457304">
      <w:pPr>
        <w:rPr>
          <w:u w:val="single"/>
          <w:lang w:val="pl-PL"/>
        </w:rPr>
      </w:pPr>
      <w:r w:rsidRPr="00457304">
        <w:rPr>
          <w:b/>
          <w:bCs/>
          <w:u w:val="single"/>
          <w:lang w:val="pl-PL"/>
        </w:rPr>
        <w:t>Sporządzili:</w:t>
      </w:r>
    </w:p>
    <w:p w14:paraId="14A33294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Andrzej Janowski - członek Komisji Innowacji i Nowych Technologii</w:t>
      </w:r>
    </w:p>
    <w:p w14:paraId="53D80AB7" w14:textId="77777777" w:rsidR="00457304" w:rsidRDefault="00457304" w:rsidP="00457304">
      <w:pPr>
        <w:rPr>
          <w:lang w:val="pl-PL"/>
        </w:rPr>
      </w:pPr>
      <w:r w:rsidRPr="00457304">
        <w:rPr>
          <w:lang w:val="pl-PL"/>
        </w:rPr>
        <w:t>Krzysztof Olejniczak - członek Komisji Innowacji i Nowych Technologii</w:t>
      </w:r>
    </w:p>
    <w:p w14:paraId="79EDC4D0" w14:textId="77777777" w:rsidR="00457304" w:rsidRPr="00457304" w:rsidRDefault="00457304" w:rsidP="00457304">
      <w:pPr>
        <w:rPr>
          <w:lang w:val="pl-PL"/>
        </w:rPr>
      </w:pPr>
    </w:p>
    <w:p w14:paraId="221FFC1A" w14:textId="77777777" w:rsidR="00457304" w:rsidRPr="00457304" w:rsidRDefault="00457304" w:rsidP="00457304">
      <w:pPr>
        <w:rPr>
          <w:u w:val="single"/>
          <w:lang w:val="pl-PL"/>
        </w:rPr>
      </w:pPr>
      <w:r w:rsidRPr="00457304">
        <w:rPr>
          <w:b/>
          <w:bCs/>
          <w:u w:val="single"/>
          <w:lang w:val="pl-PL"/>
        </w:rPr>
        <w:t>Zatwierdził:</w:t>
      </w:r>
    </w:p>
    <w:p w14:paraId="40174152" w14:textId="77777777" w:rsidR="00457304" w:rsidRPr="00457304" w:rsidRDefault="00457304" w:rsidP="00457304">
      <w:pPr>
        <w:rPr>
          <w:lang w:val="pl-PL"/>
        </w:rPr>
      </w:pPr>
      <w:r w:rsidRPr="00457304">
        <w:rPr>
          <w:lang w:val="pl-PL"/>
        </w:rPr>
        <w:t>Krzysztof Gawliński - wiceprzewodniczący Komisji Innowacji i Nowych Technologii</w:t>
      </w:r>
    </w:p>
    <w:p w14:paraId="4076DC64" w14:textId="77777777" w:rsidR="00457304" w:rsidRPr="00457304" w:rsidRDefault="00457304" w:rsidP="00A81D2B">
      <w:pPr>
        <w:rPr>
          <w:lang w:val="pl-PL"/>
        </w:rPr>
      </w:pPr>
    </w:p>
    <w:sectPr w:rsidR="00457304" w:rsidRPr="00457304" w:rsidSect="00470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C84F" w14:textId="77777777" w:rsidR="00302A21" w:rsidRDefault="00302A21" w:rsidP="00532498">
      <w:pPr>
        <w:spacing w:line="240" w:lineRule="auto"/>
      </w:pPr>
      <w:r>
        <w:separator/>
      </w:r>
    </w:p>
  </w:endnote>
  <w:endnote w:type="continuationSeparator" w:id="0">
    <w:p w14:paraId="76069D3C" w14:textId="77777777" w:rsidR="00302A21" w:rsidRDefault="00302A21" w:rsidP="00532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L">
    <w:altName w:val="Courier New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legreya Sans">
    <w:altName w:val="Calibri"/>
    <w:charset w:val="EE"/>
    <w:family w:val="auto"/>
    <w:pitch w:val="variable"/>
    <w:sig w:usb0="6000028F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F628" w14:textId="77777777" w:rsidR="00295B5B" w:rsidRDefault="00295B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0E9" w14:textId="77777777" w:rsidR="003C470C" w:rsidRDefault="003C470C" w:rsidP="003C470C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7E4F2742" wp14:editId="3DA2055D">
          <wp:extent cx="285750" cy="419100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kcent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ECFFD8" w14:textId="475C6DB8" w:rsidR="003C470C" w:rsidRPr="00363E12" w:rsidRDefault="003C470C" w:rsidP="003C470C">
    <w:pPr>
      <w:pStyle w:val="Stopka"/>
      <w:jc w:val="center"/>
      <w:rPr>
        <w:rFonts w:ascii="Alegreya Sans" w:hAnsi="Alegreya Sans"/>
        <w:b/>
        <w:color w:val="7F7F7F" w:themeColor="text1" w:themeTint="80"/>
        <w:sz w:val="17"/>
        <w:szCs w:val="17"/>
        <w:lang w:val="pl-PL"/>
      </w:rPr>
    </w:pPr>
    <w:r w:rsidRPr="00363E12">
      <w:rPr>
        <w:rFonts w:ascii="Alegreya Sans" w:hAnsi="Alegreya Sans"/>
        <w:b/>
        <w:color w:val="7F7F7F" w:themeColor="text1" w:themeTint="80"/>
        <w:sz w:val="17"/>
        <w:szCs w:val="17"/>
        <w:lang w:val="pl-PL"/>
      </w:rPr>
      <w:t>Business Centre sp. z o.o.</w:t>
    </w:r>
    <w:r w:rsidRPr="00363E12">
      <w:rPr>
        <w:rFonts w:ascii="Alegreya Sans" w:hAnsi="Alegreya Sans"/>
        <w:b/>
        <w:color w:val="C00000"/>
        <w:sz w:val="17"/>
        <w:szCs w:val="17"/>
        <w:lang w:val="pl-PL"/>
      </w:rPr>
      <w:sym w:font="Webdings" w:char="F07C"/>
    </w:r>
    <w:r w:rsidRPr="00363E12">
      <w:rPr>
        <w:rFonts w:ascii="Alegreya Sans" w:hAnsi="Alegreya Sans"/>
        <w:b/>
        <w:color w:val="7F7F7F" w:themeColor="text1" w:themeTint="80"/>
        <w:sz w:val="17"/>
        <w:szCs w:val="17"/>
        <w:lang w:val="pl-PL"/>
      </w:rPr>
      <w:t>Plac</w:t>
    </w:r>
    <w:r w:rsidR="005319A6">
      <w:rPr>
        <w:rFonts w:ascii="Alegreya Sans" w:hAnsi="Alegreya Sans"/>
        <w:b/>
        <w:color w:val="7F7F7F" w:themeColor="text1" w:themeTint="80"/>
        <w:sz w:val="17"/>
        <w:szCs w:val="17"/>
        <w:lang w:val="pl-PL"/>
      </w:rPr>
      <w:t xml:space="preserve"> Trzech Krzyży 18</w:t>
    </w:r>
    <w:r w:rsidRPr="00363E12">
      <w:rPr>
        <w:rFonts w:ascii="Alegreya Sans" w:hAnsi="Alegreya Sans"/>
        <w:b/>
        <w:color w:val="C00000"/>
        <w:sz w:val="17"/>
        <w:szCs w:val="17"/>
        <w:lang w:val="pl-PL"/>
      </w:rPr>
      <w:sym w:font="Webdings" w:char="F07C"/>
    </w:r>
    <w:r w:rsidRPr="00363E12">
      <w:rPr>
        <w:rFonts w:ascii="Alegreya Sans" w:hAnsi="Alegreya Sans"/>
        <w:b/>
        <w:color w:val="7F7F7F" w:themeColor="text1" w:themeTint="80"/>
        <w:sz w:val="17"/>
        <w:szCs w:val="17"/>
        <w:lang w:val="pl-PL"/>
      </w:rPr>
      <w:t>00-</w:t>
    </w:r>
    <w:r w:rsidR="00295B5B">
      <w:rPr>
        <w:rFonts w:ascii="Alegreya Sans" w:hAnsi="Alegreya Sans"/>
        <w:b/>
        <w:color w:val="7F7F7F" w:themeColor="text1" w:themeTint="80"/>
        <w:sz w:val="17"/>
        <w:szCs w:val="17"/>
        <w:lang w:val="pl-PL"/>
      </w:rPr>
      <w:t>499</w:t>
    </w:r>
    <w:r w:rsidRPr="00363E12">
      <w:rPr>
        <w:rFonts w:ascii="Alegreya Sans" w:hAnsi="Alegreya Sans"/>
        <w:b/>
        <w:color w:val="7F7F7F" w:themeColor="text1" w:themeTint="80"/>
        <w:sz w:val="17"/>
        <w:szCs w:val="17"/>
        <w:lang w:val="pl-PL"/>
      </w:rPr>
      <w:t xml:space="preserve"> Warszawa</w:t>
    </w:r>
    <w:r w:rsidRPr="00363E12">
      <w:rPr>
        <w:rFonts w:ascii="Alegreya Sans" w:hAnsi="Alegreya Sans"/>
        <w:b/>
        <w:color w:val="C00000"/>
        <w:sz w:val="17"/>
        <w:szCs w:val="17"/>
        <w:lang w:val="pl-PL"/>
      </w:rPr>
      <w:sym w:font="Webdings" w:char="F07C"/>
    </w:r>
    <w:r w:rsidRPr="00363E12">
      <w:rPr>
        <w:rFonts w:ascii="Alegreya Sans" w:hAnsi="Alegreya Sans"/>
        <w:b/>
        <w:color w:val="7F7F7F" w:themeColor="text1" w:themeTint="80"/>
        <w:sz w:val="17"/>
        <w:szCs w:val="17"/>
        <w:lang w:val="pl-PL"/>
      </w:rPr>
      <w:t>+48 22 582 61 01</w:t>
    </w:r>
    <w:r w:rsidRPr="00363E12">
      <w:rPr>
        <w:rFonts w:ascii="Alegreya Sans" w:hAnsi="Alegreya Sans"/>
        <w:b/>
        <w:color w:val="C00000"/>
        <w:sz w:val="17"/>
        <w:szCs w:val="17"/>
        <w:lang w:val="pl-PL"/>
      </w:rPr>
      <w:sym w:font="Webdings" w:char="F07C"/>
    </w:r>
    <w:r w:rsidRPr="00363E12">
      <w:rPr>
        <w:rFonts w:ascii="Alegreya Sans" w:hAnsi="Alegreya Sans"/>
        <w:b/>
        <w:color w:val="7F7F7F" w:themeColor="text1" w:themeTint="80"/>
        <w:sz w:val="17"/>
        <w:szCs w:val="17"/>
        <w:lang w:val="pl-PL"/>
      </w:rPr>
      <w:t>biuro@bcc.org.pl</w:t>
    </w:r>
    <w:r w:rsidRPr="00363E12">
      <w:rPr>
        <w:rFonts w:ascii="Alegreya Sans" w:hAnsi="Alegreya Sans"/>
        <w:b/>
        <w:color w:val="C00000"/>
        <w:sz w:val="17"/>
        <w:szCs w:val="17"/>
        <w:lang w:val="pl-PL"/>
      </w:rPr>
      <w:sym w:font="Webdings" w:char="F07C"/>
    </w:r>
    <w:r w:rsidRPr="00363E12">
      <w:rPr>
        <w:rFonts w:ascii="Alegreya Sans" w:hAnsi="Alegreya Sans"/>
        <w:b/>
        <w:color w:val="7F7F7F" w:themeColor="text1" w:themeTint="80"/>
        <w:sz w:val="17"/>
        <w:szCs w:val="17"/>
        <w:lang w:val="pl-PL"/>
      </w:rPr>
      <w:t>www.bcc.org.pl</w:t>
    </w:r>
  </w:p>
  <w:p w14:paraId="4D1FA2BD" w14:textId="77777777" w:rsidR="006E534A" w:rsidRPr="00363E12" w:rsidRDefault="006E534A" w:rsidP="003B4D64">
    <w:pPr>
      <w:pStyle w:val="Stopka"/>
      <w:jc w:val="center"/>
      <w:rPr>
        <w:rFonts w:ascii="Alegreya Sans" w:hAnsi="Alegreya Sans"/>
        <w:b/>
        <w:color w:val="7F7F7F" w:themeColor="text1" w:themeTint="80"/>
        <w:sz w:val="16"/>
        <w:szCs w:val="16"/>
        <w:lang w:val="pl-PL"/>
      </w:rPr>
    </w:pPr>
    <w:r w:rsidRPr="00363E12">
      <w:rPr>
        <w:rFonts w:ascii="Alegreya Sans" w:hAnsi="Alegreya Sans"/>
        <w:b/>
        <w:color w:val="7F7F7F" w:themeColor="text1" w:themeTint="80"/>
        <w:sz w:val="16"/>
        <w:szCs w:val="16"/>
        <w:lang w:val="pl-PL"/>
      </w:rPr>
      <w:t xml:space="preserve">NIP: </w:t>
    </w:r>
    <w:r w:rsidR="003C470C" w:rsidRPr="00363E12">
      <w:rPr>
        <w:rFonts w:ascii="Alegreya Sans" w:hAnsi="Alegreya Sans"/>
        <w:b/>
        <w:color w:val="7F7F7F" w:themeColor="text1" w:themeTint="80"/>
        <w:sz w:val="16"/>
        <w:szCs w:val="16"/>
        <w:lang w:val="pl-PL"/>
      </w:rPr>
      <w:t>526-021-29-60</w:t>
    </w:r>
    <w:r w:rsidR="003B4D64" w:rsidRPr="00363E12">
      <w:rPr>
        <w:rFonts w:ascii="Alegreya Sans" w:hAnsi="Alegreya Sans"/>
        <w:b/>
        <w:color w:val="7F7F7F" w:themeColor="text1" w:themeTint="80"/>
        <w:sz w:val="16"/>
        <w:szCs w:val="16"/>
        <w:lang w:val="pl-PL"/>
      </w:rPr>
      <w:t xml:space="preserve">  </w:t>
    </w:r>
    <w:r w:rsidR="003B4D64" w:rsidRPr="00363E12">
      <w:rPr>
        <w:rFonts w:ascii="Alegreya Sans" w:hAnsi="Alegreya Sans"/>
        <w:b/>
        <w:color w:val="C00000"/>
        <w:sz w:val="16"/>
        <w:szCs w:val="16"/>
        <w:lang w:val="pl-PL"/>
      </w:rPr>
      <w:t xml:space="preserve">| </w:t>
    </w:r>
    <w:r w:rsidR="003B4D64" w:rsidRPr="00363E12">
      <w:rPr>
        <w:rFonts w:ascii="Alegreya Sans" w:hAnsi="Alegreya Sans"/>
        <w:b/>
        <w:color w:val="7F7F7F" w:themeColor="text1" w:themeTint="80"/>
        <w:sz w:val="16"/>
        <w:szCs w:val="16"/>
        <w:lang w:val="pl-PL"/>
      </w:rPr>
      <w:t xml:space="preserve"> </w:t>
    </w:r>
    <w:r w:rsidRPr="00363E12">
      <w:rPr>
        <w:rFonts w:ascii="Alegreya Sans" w:hAnsi="Alegreya Sans"/>
        <w:b/>
        <w:color w:val="7F7F7F" w:themeColor="text1" w:themeTint="80"/>
        <w:sz w:val="16"/>
        <w:szCs w:val="16"/>
        <w:lang w:val="pl-PL"/>
      </w:rPr>
      <w:t>Rejestr: Sąd Rejonowy dla m.st. Warszawy, XII Wydział Gospodarczy Krajowego Rejestru Sądowego Nr:</w:t>
    </w:r>
    <w:r w:rsidR="003C470C" w:rsidRPr="00363E12">
      <w:rPr>
        <w:rFonts w:ascii="Alegreya Sans" w:hAnsi="Alegreya Sans"/>
        <w:b/>
        <w:color w:val="7F7F7F" w:themeColor="text1" w:themeTint="80"/>
        <w:sz w:val="16"/>
        <w:szCs w:val="16"/>
        <w:lang w:val="pl-PL"/>
      </w:rPr>
      <w:t>0000053984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0758" w14:textId="77777777" w:rsidR="00295B5B" w:rsidRDefault="00295B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AB5C" w14:textId="77777777" w:rsidR="00302A21" w:rsidRDefault="00302A21" w:rsidP="00532498">
      <w:pPr>
        <w:spacing w:line="240" w:lineRule="auto"/>
      </w:pPr>
      <w:r>
        <w:separator/>
      </w:r>
    </w:p>
  </w:footnote>
  <w:footnote w:type="continuationSeparator" w:id="0">
    <w:p w14:paraId="1912E733" w14:textId="77777777" w:rsidR="00302A21" w:rsidRDefault="00302A21" w:rsidP="005324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F37A" w14:textId="77777777" w:rsidR="00295B5B" w:rsidRDefault="00295B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6624" w14:textId="77777777" w:rsidR="00532498" w:rsidRDefault="003C470C" w:rsidP="00532498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717F8EF1" wp14:editId="459B9FD2">
          <wp:extent cx="2232000" cy="1841302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C_2019_pion_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184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1E4FB1" w14:textId="77777777" w:rsidR="00C44E7F" w:rsidRDefault="00C44E7F" w:rsidP="00532498">
    <w:pPr>
      <w:pStyle w:val="Nagwek"/>
      <w:jc w:val="center"/>
    </w:pPr>
  </w:p>
  <w:p w14:paraId="5CE40042" w14:textId="77777777" w:rsidR="00C44E7F" w:rsidRDefault="00C44E7F" w:rsidP="00532498">
    <w:pPr>
      <w:pStyle w:val="Nagwek"/>
      <w:jc w:val="center"/>
    </w:pPr>
  </w:p>
  <w:p w14:paraId="31EABE57" w14:textId="77777777" w:rsidR="00532498" w:rsidRDefault="005324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658C" w14:textId="77777777" w:rsidR="00295B5B" w:rsidRDefault="00295B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5D2"/>
    <w:multiLevelType w:val="multilevel"/>
    <w:tmpl w:val="ABA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921AB"/>
    <w:multiLevelType w:val="multilevel"/>
    <w:tmpl w:val="B662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1540B"/>
    <w:multiLevelType w:val="multilevel"/>
    <w:tmpl w:val="F1DE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324D1"/>
    <w:multiLevelType w:val="multilevel"/>
    <w:tmpl w:val="4FD8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66D64"/>
    <w:multiLevelType w:val="multilevel"/>
    <w:tmpl w:val="B54E1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95D58"/>
    <w:multiLevelType w:val="multilevel"/>
    <w:tmpl w:val="7FAA0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03D9C"/>
    <w:multiLevelType w:val="multilevel"/>
    <w:tmpl w:val="8866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77189"/>
    <w:multiLevelType w:val="multilevel"/>
    <w:tmpl w:val="D9BC9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C7DE2"/>
    <w:multiLevelType w:val="hybridMultilevel"/>
    <w:tmpl w:val="4316F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D0ABA"/>
    <w:multiLevelType w:val="hybridMultilevel"/>
    <w:tmpl w:val="569A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20B33"/>
    <w:multiLevelType w:val="multilevel"/>
    <w:tmpl w:val="A3D48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52DB4"/>
    <w:multiLevelType w:val="multilevel"/>
    <w:tmpl w:val="3810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50859"/>
    <w:multiLevelType w:val="multilevel"/>
    <w:tmpl w:val="F8F69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524001">
    <w:abstractNumId w:val="8"/>
  </w:num>
  <w:num w:numId="2" w16cid:durableId="1529567204">
    <w:abstractNumId w:val="9"/>
  </w:num>
  <w:num w:numId="3" w16cid:durableId="899560023">
    <w:abstractNumId w:val="1"/>
  </w:num>
  <w:num w:numId="4" w16cid:durableId="2899621">
    <w:abstractNumId w:val="0"/>
  </w:num>
  <w:num w:numId="5" w16cid:durableId="1511289547">
    <w:abstractNumId w:val="3"/>
  </w:num>
  <w:num w:numId="6" w16cid:durableId="1304500905">
    <w:abstractNumId w:val="4"/>
    <w:lvlOverride w:ilvl="0">
      <w:lvl w:ilvl="0">
        <w:numFmt w:val="decimal"/>
        <w:lvlText w:val="%1."/>
        <w:lvlJc w:val="left"/>
      </w:lvl>
    </w:lvlOverride>
  </w:num>
  <w:num w:numId="7" w16cid:durableId="962420311">
    <w:abstractNumId w:val="2"/>
  </w:num>
  <w:num w:numId="8" w16cid:durableId="2016178214">
    <w:abstractNumId w:val="11"/>
  </w:num>
  <w:num w:numId="9" w16cid:durableId="1928077729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1326862078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1165584598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2112431395">
    <w:abstractNumId w:val="6"/>
  </w:num>
  <w:num w:numId="13" w16cid:durableId="40056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98"/>
    <w:rsid w:val="000F5A0B"/>
    <w:rsid w:val="00147568"/>
    <w:rsid w:val="001D4AA3"/>
    <w:rsid w:val="002306D6"/>
    <w:rsid w:val="00240F6D"/>
    <w:rsid w:val="00243488"/>
    <w:rsid w:val="002847E4"/>
    <w:rsid w:val="00295B5B"/>
    <w:rsid w:val="002F2A16"/>
    <w:rsid w:val="00302A21"/>
    <w:rsid w:val="00363E12"/>
    <w:rsid w:val="00382A62"/>
    <w:rsid w:val="003A4E66"/>
    <w:rsid w:val="003B4D64"/>
    <w:rsid w:val="003C470C"/>
    <w:rsid w:val="003F5219"/>
    <w:rsid w:val="00457304"/>
    <w:rsid w:val="0045751F"/>
    <w:rsid w:val="00465C96"/>
    <w:rsid w:val="00470335"/>
    <w:rsid w:val="00470717"/>
    <w:rsid w:val="004E2583"/>
    <w:rsid w:val="005210B1"/>
    <w:rsid w:val="005319A6"/>
    <w:rsid w:val="00532498"/>
    <w:rsid w:val="005A68C8"/>
    <w:rsid w:val="006108C6"/>
    <w:rsid w:val="0065123D"/>
    <w:rsid w:val="006A7A5F"/>
    <w:rsid w:val="006D35B3"/>
    <w:rsid w:val="006D5E60"/>
    <w:rsid w:val="006E3708"/>
    <w:rsid w:val="006E534A"/>
    <w:rsid w:val="00751F46"/>
    <w:rsid w:val="007E04B9"/>
    <w:rsid w:val="00861059"/>
    <w:rsid w:val="00876C3B"/>
    <w:rsid w:val="00886466"/>
    <w:rsid w:val="009D7D60"/>
    <w:rsid w:val="00A65920"/>
    <w:rsid w:val="00A81D2B"/>
    <w:rsid w:val="00A84807"/>
    <w:rsid w:val="00B018A7"/>
    <w:rsid w:val="00B04F0B"/>
    <w:rsid w:val="00B5022F"/>
    <w:rsid w:val="00B5136E"/>
    <w:rsid w:val="00B70953"/>
    <w:rsid w:val="00C44E7F"/>
    <w:rsid w:val="00C732A9"/>
    <w:rsid w:val="00C87AAF"/>
    <w:rsid w:val="00CB15CA"/>
    <w:rsid w:val="00DB18C4"/>
    <w:rsid w:val="00E536F3"/>
    <w:rsid w:val="00E7717F"/>
    <w:rsid w:val="00EB0E28"/>
    <w:rsid w:val="00ED0C22"/>
    <w:rsid w:val="00EE232C"/>
    <w:rsid w:val="00F26198"/>
    <w:rsid w:val="00F8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3E51"/>
  <w15:docId w15:val="{9DC80CC6-D3C0-4464-B558-2A3FF42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059"/>
    <w:rPr>
      <w:rFonts w:ascii="Times New Roman PL" w:hAnsi="Times New Roman PL"/>
      <w:sz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8"/>
  </w:style>
  <w:style w:type="paragraph" w:styleId="Stopka">
    <w:name w:val="footer"/>
    <w:basedOn w:val="Normalny"/>
    <w:link w:val="StopkaZnak"/>
    <w:uiPriority w:val="99"/>
    <w:unhideWhenUsed/>
    <w:rsid w:val="005324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8"/>
  </w:style>
  <w:style w:type="character" w:styleId="Hipercze">
    <w:name w:val="Hyperlink"/>
    <w:basedOn w:val="Domylnaczcionkaakapitu"/>
    <w:uiPriority w:val="99"/>
    <w:unhideWhenUsed/>
    <w:rsid w:val="006E53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E60"/>
    <w:rPr>
      <w:rFonts w:ascii="Tahoma" w:hAnsi="Tahoma" w:cs="Tahoma"/>
      <w:sz w:val="16"/>
      <w:szCs w:val="16"/>
      <w:lang w:val="en-US"/>
    </w:rPr>
  </w:style>
  <w:style w:type="paragraph" w:styleId="Tekstpodstawowy">
    <w:name w:val="Body Text"/>
    <w:basedOn w:val="Normalny"/>
    <w:link w:val="TekstpodstawowyZnak"/>
    <w:rsid w:val="00DB18C4"/>
    <w:pPr>
      <w:spacing w:after="120" w:line="240" w:lineRule="auto"/>
    </w:pPr>
    <w:rPr>
      <w:rFonts w:ascii="Tahoma" w:eastAsia="Times New Roman" w:hAnsi="Tahoma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18C4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BasicParagraph">
    <w:name w:val="[Basic Paragraph]"/>
    <w:basedOn w:val="Normalny"/>
    <w:uiPriority w:val="99"/>
    <w:rsid w:val="003A4E6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6A7A5F"/>
    <w:pPr>
      <w:spacing w:after="200" w:line="276" w:lineRule="auto"/>
      <w:ind w:left="720"/>
      <w:contextualSpacing/>
    </w:pPr>
    <w:rPr>
      <w:rFonts w:asciiTheme="minorHAnsi" w:hAnsiTheme="minorHAnsi"/>
      <w:sz w:val="22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306D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BB23-DEBA-40C2-9AA6-9C05B0EF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Onikki-Górski</dc:creator>
  <cp:lastModifiedBy>Rybińska–Fliszkiewicz Joanna</cp:lastModifiedBy>
  <cp:revision>2</cp:revision>
  <cp:lastPrinted>2023-12-07T10:05:00Z</cp:lastPrinted>
  <dcterms:created xsi:type="dcterms:W3CDTF">2026-01-16T14:35:00Z</dcterms:created>
  <dcterms:modified xsi:type="dcterms:W3CDTF">2026-01-16T14:35:00Z</dcterms:modified>
</cp:coreProperties>
</file>