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336DC" w14:textId="1E0A9185" w:rsidR="00C0734C" w:rsidRPr="003F2766" w:rsidRDefault="00D16F02" w:rsidP="003F276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2766">
        <w:rPr>
          <w:rFonts w:ascii="Times New Roman" w:hAnsi="Times New Roman" w:cs="Times New Roman"/>
          <w:sz w:val="20"/>
          <w:szCs w:val="20"/>
        </w:rPr>
        <w:t xml:space="preserve">Warszawa, </w:t>
      </w:r>
      <w:r w:rsidR="0045569C">
        <w:rPr>
          <w:rFonts w:ascii="Times New Roman" w:hAnsi="Times New Roman" w:cs="Times New Roman"/>
          <w:sz w:val="20"/>
          <w:szCs w:val="20"/>
        </w:rPr>
        <w:t>1</w:t>
      </w:r>
      <w:r w:rsidR="006C20B0">
        <w:rPr>
          <w:rFonts w:ascii="Times New Roman" w:hAnsi="Times New Roman" w:cs="Times New Roman"/>
          <w:sz w:val="20"/>
          <w:szCs w:val="20"/>
        </w:rPr>
        <w:t>9</w:t>
      </w:r>
      <w:r w:rsidR="0045569C">
        <w:rPr>
          <w:rFonts w:ascii="Times New Roman" w:hAnsi="Times New Roman" w:cs="Times New Roman"/>
          <w:sz w:val="20"/>
          <w:szCs w:val="20"/>
        </w:rPr>
        <w:t xml:space="preserve"> marca 2020</w:t>
      </w:r>
      <w:r w:rsidR="00B5309E" w:rsidRPr="003F2766">
        <w:rPr>
          <w:rFonts w:ascii="Times New Roman" w:hAnsi="Times New Roman" w:cs="Times New Roman"/>
          <w:sz w:val="20"/>
          <w:szCs w:val="20"/>
        </w:rPr>
        <w:t>r.</w:t>
      </w:r>
    </w:p>
    <w:p w14:paraId="061C75FC" w14:textId="77777777" w:rsidR="00FA66F7" w:rsidRDefault="00FA66F7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59A50" w14:textId="77777777" w:rsidR="006C20B0" w:rsidRPr="006C20B0" w:rsidRDefault="009C579F" w:rsidP="006C20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6F7">
        <w:rPr>
          <w:rFonts w:ascii="Times New Roman" w:hAnsi="Times New Roman" w:cs="Times New Roman"/>
          <w:sz w:val="20"/>
          <w:szCs w:val="20"/>
        </w:rPr>
        <w:t xml:space="preserve">Pan </w:t>
      </w:r>
      <w:r w:rsidR="006C20B0" w:rsidRPr="006C20B0">
        <w:rPr>
          <w:rFonts w:ascii="Times New Roman" w:hAnsi="Times New Roman" w:cs="Times New Roman"/>
          <w:sz w:val="20"/>
          <w:szCs w:val="20"/>
        </w:rPr>
        <w:t xml:space="preserve">Jarosław </w:t>
      </w:r>
      <w:proofErr w:type="spellStart"/>
      <w:r w:rsidR="006C20B0" w:rsidRPr="006C20B0">
        <w:rPr>
          <w:rFonts w:ascii="Times New Roman" w:hAnsi="Times New Roman" w:cs="Times New Roman"/>
          <w:sz w:val="20"/>
          <w:szCs w:val="20"/>
        </w:rPr>
        <w:t>Pinkas</w:t>
      </w:r>
      <w:proofErr w:type="spellEnd"/>
    </w:p>
    <w:p w14:paraId="5A7451EA" w14:textId="501DAE60" w:rsidR="00957869" w:rsidRPr="00FA66F7" w:rsidRDefault="006C20B0" w:rsidP="006C20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0B0">
        <w:rPr>
          <w:rFonts w:ascii="Times New Roman" w:hAnsi="Times New Roman" w:cs="Times New Roman"/>
          <w:sz w:val="20"/>
          <w:szCs w:val="20"/>
        </w:rPr>
        <w:t xml:space="preserve">Główny Inspektor Sanitarny  </w:t>
      </w:r>
    </w:p>
    <w:p w14:paraId="6FE469CC" w14:textId="77777777" w:rsidR="00EE0253" w:rsidRPr="00FA66F7" w:rsidRDefault="00EE0253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88A3B2" w14:textId="77777777" w:rsidR="00787136" w:rsidRDefault="00787136" w:rsidP="004556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280D37DA" w14:textId="65477CB9" w:rsidR="0045569C" w:rsidRDefault="0045569C" w:rsidP="004556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45569C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Szanowny Panie </w:t>
      </w:r>
      <w:r w:rsid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Inspektorze,</w:t>
      </w:r>
    </w:p>
    <w:p w14:paraId="6C757E2B" w14:textId="77777777" w:rsidR="005C4B65" w:rsidRPr="0045569C" w:rsidRDefault="005C4B65" w:rsidP="004556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76C9E2F8" w14:textId="08F247BC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Wielu spośród pracodawców </w:t>
      </w:r>
      <w:r w:rsidR="00787136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zrzeszonych</w:t>
      </w: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 w </w:t>
      </w:r>
      <w:r w:rsidR="00787136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naszej organizacji</w:t>
      </w: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 zatrudnia/współpracuje z cudzoziemcami, bądź deleguje swoich do pracowników (obywateli) do pracy w innych krajach członkowskich Unii Europejskiej. </w:t>
      </w:r>
    </w:p>
    <w:p w14:paraId="3A154412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5CE149AB" w14:textId="6BE7403F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W związku z wejściem w życie rozporządzenia Ministra Zdrowia z dnia 13 marca 2020 roku w sprawie ogłoszenia na obszarze Rzeczypospolitej Polskiej stanu zagrożenia epidemicznego (dalej jako „Rozporządzenia Ministra Zdrowia”) znaczna część członków </w:t>
      </w:r>
      <w:r w:rsidR="00134EEF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naszej organizacji</w:t>
      </w: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 zgłasza wątpliwości co do prawidłowego stosowania przepisów dotyczących kwarantanny, w szczególności w odniesieniu do pracowników często przekraczających granicę np. pracowników transportu, opiekunów, pracowników przyjeżdzających do domu wyłącznie na weekend.</w:t>
      </w:r>
    </w:p>
    <w:p w14:paraId="49D40AE0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66B20079" w14:textId="0B37A42E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Zgodnie z przekazywanymi </w:t>
      </w:r>
      <w:r w:rsidR="00370C35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przez Związek Pracodawców Business Centre Club</w:t>
      </w: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 informacjami wszystkie osoby, które przekraczają granicę w celu udania się do swojego miejsca zamieszkania lub pobytu na terytorium Rzeczypospolitej Polskiej, są przez funkcjonariuszy Straży Granicznej kierowane na obowiązkową 14-dniową kwarantannę. Do takiej kwarantanny kierowani są również kierowcy busów lub osoby przyjeżdzające do Polski wyłącznie na weekend, czy też opiekunowie osób starszych.</w:t>
      </w:r>
    </w:p>
    <w:p w14:paraId="55C91EA3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1FA936A6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Powoduje to, że do osób tych przez okres 14 dni znajdują zastosowanie regulacje zawarte w ustawie z dnia 5 grudnia 2008 roku o zapobieganiu oraz zwalczeniu zakażeń i chorób zakaźnych u ludzi (tj. z dnia 6 czerwca 2019 roku, Dz. U. z 2019 roku, poz. 1239, dalej jako „Ustawa o Zapobieganiu Chorób Zakaźnych”) w zakresie określającym obowiązki osoby poddanej kwarantannie, w szczególności zaś aktualizuje się obowiązek pozostawania w odosobnieniu. Sytuacja taka powoduje dalej idące perturbacje – brak transportu (brak kierowców bowiem znaczna część kierowana jest do odbycia kwarantanny), czy brak możliwości udania się do pracy. </w:t>
      </w:r>
    </w:p>
    <w:p w14:paraId="39A23334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1E9334E0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lastRenderedPageBreak/>
        <w:t xml:space="preserve">Wydaje się, że problemy takie chciał rozwiązać ustawodawca bowiem Rozporządzenie Ministra Zdrowia w § 2 ust. 5 wprost zwalnia z obowiązku poddania kwarantannie: </w:t>
      </w:r>
    </w:p>
    <w:p w14:paraId="106026D5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53BE685C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</w:t>
      </w: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 xml:space="preserve">osoby mieszkające w Polsce, które pracują w kraju sąsiednim i regularnie przekraczają granice, </w:t>
      </w:r>
    </w:p>
    <w:p w14:paraId="4AB666FD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</w:t>
      </w: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 xml:space="preserve">cudzoziemców mieszkających w kraju sąsiednim, którzy pracują w Polsce i przekraczają granicę regularnie, </w:t>
      </w:r>
    </w:p>
    <w:p w14:paraId="5299E262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</w:t>
      </w: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 xml:space="preserve">kierowców wykonujących zawodowo transport towarowy i osobowy.  </w:t>
      </w:r>
    </w:p>
    <w:p w14:paraId="748EA7B5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1FC4D05A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Jednocześnie, w wyniku nierespektowania przez funkcjonariuszy Straży Granicznej postanowień § 2 ust. 5 Rozporządzenia, pracodawcy zatrudniający/współpracujący z cudzoziemcami są przez okres 14 dni pozbawieni możliwości korzystania z ich pracy/usług. Podobnie, w wyniku takich działań, pracodawcy świadczący usługi transgraniczne pozostają w zasadzie pozbawieni możliwości świadczenia tych usług – do świadczenia tych usług niezbędne jest bowiem zapewnienie ich pracownikom transportu do miejsca świadczenia usług, natomiast przewoźnicy – wobec zobowiązywania zawodowych kierowców do odbywania kwarantanny – zostają pozbawieni możliwości świadczenia usług transportowych. Czynniki te powodują dodatkowe, znaczące utrudnienia w prowadzeniu działalności przez wielu pracodawców, podczas gdy prowadzenie tej działalności w chwili obecnej – uwzględniając obostrzenia wynikające z wprowadzenia stanu zagrożenia epidemicznego – i tak jest bardzo trudne. Jednocześnie wskazujemy, że przedsiębiorcy w sytuacjach gdy jest to możliwe zalecają pracownikom pozostanie w domach.</w:t>
      </w:r>
    </w:p>
    <w:p w14:paraId="5C79E170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4ACA703C" w14:textId="4B118775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Z powyższych przyczyn zwracamy się do </w:t>
      </w:r>
      <w:r w:rsidR="00110746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Pana - </w:t>
      </w: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Głównego Inspektora Sanitarnego z apelem, aby w ramach przysługujących mu ustawowo uprawnień:</w:t>
      </w:r>
    </w:p>
    <w:p w14:paraId="534092E0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6F4F767C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1)</w:t>
      </w: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 xml:space="preserve">wydał wytyczne dla organów Państwowej Inspekcji Sanitarnej, aby organy te, w przypadku osób, które zostały przez funkcjonariuszy Straży Granicznej zobowiązane do odbycia obowiązkowej 14-dniowej kwarantanny w związku z przekroczeniem granicy Rzeczypospolitej Polskiej, pomimo że znajduje do nich zastosowanie wyłączenie, o którym mowa w § 2 ust. 5 Rozporządzenia Ministra Zdrowia (co zostanie potwierdzone oświadczeniem pracodawcy / zleceniodawcy), zwalniały te osoby z obowiązku odbycia obowiązkowej kwarantanny, </w:t>
      </w:r>
    </w:p>
    <w:p w14:paraId="56816E74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3E773846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lastRenderedPageBreak/>
        <w:t>2)</w:t>
      </w: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ab/>
        <w:t>zwrócił się do Komendanta Głównego Straży Granicznej by ten w ramach przysługujących mu uprawnień wskazał funkcjonariuszom Straży Granicznej brak podstaw do kierowania osób, o których mowa w § 2 ust. 5 Rozporządzenia Ministra Zdrowia na obowiązkową 14-dniową kwarantannę, jeżeli posiadają stosowne zaświadczenie od pracodawcy.</w:t>
      </w:r>
    </w:p>
    <w:p w14:paraId="7EB6B0FD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41B0D8C4" w14:textId="77777777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  </w:t>
      </w:r>
    </w:p>
    <w:p w14:paraId="38789E9C" w14:textId="1F5385DD" w:rsidR="006C20B0" w:rsidRPr="006C20B0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Na zakończenie powyższych rozważań należy podkreślić, że </w:t>
      </w:r>
      <w:r w:rsidR="00110746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ZP </w:t>
      </w: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BCC w pełni popiera, jak również zachęca swoich członków do angażowania się we wszelkie działania zmierzające do zapobieżenia zakażeniem wirusem SARS-CoV-2. W </w:t>
      </w:r>
      <w:r w:rsidR="00110746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naszej </w:t>
      </w: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ocenie należy jednak zwracać uwagę, aby działania te w pełni realizowały założenia ustawodawcy oraz umożliwiły prowadzenie [i tak obecnie utrudnione] działalności gospodarczej. </w:t>
      </w:r>
    </w:p>
    <w:p w14:paraId="456E1AF1" w14:textId="77777777" w:rsidR="00110746" w:rsidRDefault="006C20B0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Ze względu na wagę zagadnień objętych niniejszym pismem zwracamy się z uprzejmą prośbą o możliwie szybkie ustosunkowanie się do zawartych w nim zagadnień. </w:t>
      </w:r>
    </w:p>
    <w:p w14:paraId="164E8358" w14:textId="4A8A3518" w:rsidR="0045569C" w:rsidRPr="0045569C" w:rsidRDefault="00110746" w:rsidP="006C2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Będziemy wdzięczni za przekazywanie informacji na adres: </w:t>
      </w:r>
      <w:hyperlink r:id="rId8" w:history="1">
        <w:r w:rsidRPr="00674D76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instytut@bcc.org.pl</w:t>
        </w:r>
      </w:hyperlink>
      <w:r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 </w:t>
      </w:r>
      <w:bookmarkStart w:id="0" w:name="_GoBack"/>
      <w:bookmarkEnd w:id="0"/>
    </w:p>
    <w:p w14:paraId="7F9536EE" w14:textId="77777777" w:rsidR="006C20B0" w:rsidRDefault="006C20B0" w:rsidP="004556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55A7CE44" w14:textId="77777777" w:rsidR="006C20B0" w:rsidRDefault="006C20B0" w:rsidP="004556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5D11938B" w14:textId="1F0D2096" w:rsidR="0045569C" w:rsidRDefault="0045569C" w:rsidP="004556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 w:rsidRPr="0045569C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Z </w:t>
      </w:r>
      <w:r w:rsidR="006C20B0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wyrazami szacunku,</w:t>
      </w:r>
      <w:r w:rsidRPr="0045569C"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,</w:t>
      </w:r>
    </w:p>
    <w:p w14:paraId="768BAC77" w14:textId="6303DB5F" w:rsidR="0045569C" w:rsidRPr="0045569C" w:rsidRDefault="0097134C" w:rsidP="004556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(-)</w:t>
      </w:r>
    </w:p>
    <w:p w14:paraId="7B66111E" w14:textId="3A362529" w:rsidR="0045569C" w:rsidRDefault="006C20B0" w:rsidP="004556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Potocka-Domin</w:t>
      </w:r>
      <w:proofErr w:type="spellEnd"/>
    </w:p>
    <w:p w14:paraId="4A3C7906" w14:textId="5DD71352" w:rsidR="006C20B0" w:rsidRDefault="006C20B0" w:rsidP="004556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  <w:t>wiceprezes</w:t>
      </w:r>
    </w:p>
    <w:p w14:paraId="11468EBB" w14:textId="5ADE624A" w:rsidR="00541F01" w:rsidRDefault="00541F01" w:rsidP="004556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3ECC1B73" w14:textId="77777777" w:rsidR="00541F01" w:rsidRDefault="00541F01" w:rsidP="004556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71717"/>
          <w:sz w:val="20"/>
          <w:szCs w:val="20"/>
          <w:u w:val="single"/>
          <w:lang w:eastAsia="pl-PL"/>
        </w:rPr>
      </w:pPr>
    </w:p>
    <w:p w14:paraId="6659551D" w14:textId="67644179" w:rsidR="00C0734C" w:rsidRPr="00FA66F7" w:rsidRDefault="00C0734C" w:rsidP="003F2766">
      <w:pPr>
        <w:spacing w:after="0" w:line="360" w:lineRule="auto"/>
        <w:jc w:val="both"/>
        <w:rPr>
          <w:rFonts w:ascii="Cambria" w:hAnsi="Cambria"/>
          <w:i/>
          <w:sz w:val="20"/>
          <w:szCs w:val="20"/>
        </w:rPr>
      </w:pPr>
    </w:p>
    <w:sectPr w:rsidR="00C0734C" w:rsidRPr="00FA66F7" w:rsidSect="003F2766">
      <w:headerReference w:type="default" r:id="rId9"/>
      <w:footerReference w:type="default" r:id="rId10"/>
      <w:pgSz w:w="11906" w:h="16838"/>
      <w:pgMar w:top="2315" w:right="1417" w:bottom="993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2B520" w14:textId="77777777" w:rsidR="00123114" w:rsidRDefault="00123114" w:rsidP="00AC08B8">
      <w:pPr>
        <w:spacing w:after="0" w:line="240" w:lineRule="auto"/>
      </w:pPr>
      <w:r>
        <w:separator/>
      </w:r>
    </w:p>
  </w:endnote>
  <w:endnote w:type="continuationSeparator" w:id="0">
    <w:p w14:paraId="143377DD" w14:textId="77777777" w:rsidR="00123114" w:rsidRDefault="00123114" w:rsidP="00AC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egreya Sans">
    <w:altName w:val="Courier New"/>
    <w:charset w:val="EE"/>
    <w:family w:val="auto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C2209" w14:textId="77777777" w:rsidR="0027486E" w:rsidRDefault="0027486E" w:rsidP="0027486E">
    <w:pPr>
      <w:jc w:val="center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pl-PL"/>
      </w:rPr>
      <w:drawing>
        <wp:inline distT="0" distB="0" distL="0" distR="0" wp14:anchorId="1C97FB51" wp14:editId="0D91230D">
          <wp:extent cx="253968" cy="253968"/>
          <wp:effectExtent l="0" t="0" r="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kc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68" cy="253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26EC3" w14:textId="77777777" w:rsidR="0027486E" w:rsidRPr="0027486E" w:rsidRDefault="0027486E" w:rsidP="0027486E">
    <w:pPr>
      <w:spacing w:after="0"/>
      <w:ind w:left="-567" w:right="-567"/>
      <w:jc w:val="center"/>
      <w:rPr>
        <w:rFonts w:ascii="Alegreya Sans" w:hAnsi="Alegreya Sans"/>
        <w:color w:val="808080" w:themeColor="background1" w:themeShade="80"/>
        <w:sz w:val="19"/>
        <w:szCs w:val="19"/>
      </w:rPr>
    </w:pPr>
    <w:r w:rsidRPr="0027486E">
      <w:rPr>
        <w:rFonts w:ascii="Alegreya Sans" w:hAnsi="Alegreya Sans"/>
        <w:color w:val="808080" w:themeColor="background1" w:themeShade="80"/>
        <w:sz w:val="19"/>
        <w:szCs w:val="19"/>
      </w:rPr>
      <w:t>Związek Pracodawców Business Centre Club</w:t>
    </w:r>
    <w:r w:rsidRPr="0027486E">
      <w:rPr>
        <w:rFonts w:ascii="Alegreya Sans" w:hAnsi="Alegreya Sans"/>
        <w:color w:val="C00000"/>
        <w:sz w:val="19"/>
        <w:szCs w:val="19"/>
      </w:rPr>
      <w:t xml:space="preserve"> </w:t>
    </w:r>
    <w:r w:rsidRPr="0027486E">
      <w:rPr>
        <w:rFonts w:ascii="Arial" w:hAnsi="Arial" w:cs="Arial"/>
        <w:b/>
        <w:color w:val="C00000"/>
        <w:sz w:val="18"/>
        <w:szCs w:val="18"/>
      </w:rPr>
      <w:t>|</w:t>
    </w:r>
    <w:r w:rsidRPr="0027486E">
      <w:rPr>
        <w:rFonts w:ascii="Alegreya Sans" w:hAnsi="Alegreya Sans"/>
        <w:color w:val="C00000"/>
        <w:sz w:val="19"/>
        <w:szCs w:val="19"/>
      </w:rPr>
      <w:t xml:space="preserve"> </w:t>
    </w:r>
    <w:r w:rsidRPr="0027486E">
      <w:rPr>
        <w:rFonts w:ascii="Alegreya Sans" w:hAnsi="Alegreya Sans"/>
        <w:color w:val="808080" w:themeColor="background1" w:themeShade="80"/>
        <w:sz w:val="19"/>
        <w:szCs w:val="19"/>
      </w:rPr>
      <w:t>00-136 Warszawa, Pl. Żelaznej Bramy 10</w:t>
    </w:r>
    <w:r w:rsidRPr="0027486E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</w:t>
    </w:r>
    <w:r w:rsidRPr="0027486E">
      <w:rPr>
        <w:rFonts w:ascii="Arial" w:hAnsi="Arial" w:cs="Arial"/>
        <w:b/>
        <w:color w:val="C00000"/>
        <w:sz w:val="18"/>
        <w:szCs w:val="18"/>
      </w:rPr>
      <w:t>|</w:t>
    </w:r>
    <w:r w:rsidRPr="0027486E">
      <w:rPr>
        <w:rFonts w:ascii="Alegreya Sans" w:hAnsi="Alegreya Sans"/>
        <w:color w:val="808080" w:themeColor="background1" w:themeShade="80"/>
        <w:sz w:val="19"/>
        <w:szCs w:val="19"/>
      </w:rPr>
      <w:t xml:space="preserve"> +48 22 582 61 01</w:t>
    </w:r>
    <w:r w:rsidRPr="0027486E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</w:t>
    </w:r>
    <w:r w:rsidRPr="0027486E">
      <w:rPr>
        <w:rFonts w:ascii="Arial" w:hAnsi="Arial" w:cs="Arial"/>
        <w:b/>
        <w:color w:val="C00000"/>
        <w:sz w:val="18"/>
        <w:szCs w:val="18"/>
      </w:rPr>
      <w:t>|</w:t>
    </w:r>
    <w:r w:rsidRPr="0027486E">
      <w:rPr>
        <w:rFonts w:ascii="Alegreya Sans" w:hAnsi="Alegreya Sans"/>
        <w:color w:val="C00000"/>
        <w:sz w:val="19"/>
        <w:szCs w:val="19"/>
      </w:rPr>
      <w:t xml:space="preserve"> </w:t>
    </w:r>
    <w:r w:rsidRPr="0027486E">
      <w:rPr>
        <w:rFonts w:ascii="Alegreya Sans" w:hAnsi="Alegreya Sans"/>
        <w:color w:val="808080" w:themeColor="background1" w:themeShade="80"/>
        <w:sz w:val="19"/>
        <w:szCs w:val="19"/>
      </w:rPr>
      <w:t>biuro@bcc.org.pl</w:t>
    </w:r>
  </w:p>
  <w:p w14:paraId="03C0113A" w14:textId="77777777" w:rsidR="0027486E" w:rsidRPr="0027486E" w:rsidRDefault="0027486E" w:rsidP="0027486E">
    <w:pPr>
      <w:spacing w:after="0"/>
      <w:jc w:val="center"/>
      <w:rPr>
        <w:rFonts w:ascii="Alegreya Sans" w:hAnsi="Alegreya Sans"/>
        <w:color w:val="808080" w:themeColor="background1" w:themeShade="80"/>
        <w:sz w:val="18"/>
      </w:rPr>
    </w:pPr>
    <w:r w:rsidRPr="0027486E">
      <w:rPr>
        <w:rFonts w:ascii="Alegreya Sans" w:hAnsi="Alegreya Sans"/>
        <w:color w:val="808080" w:themeColor="background1" w:themeShade="80"/>
        <w:sz w:val="18"/>
      </w:rPr>
      <w:t>NIP: 525-22-42-171</w:t>
    </w:r>
    <w:r w:rsidRPr="0027486E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</w:t>
    </w:r>
    <w:r w:rsidRPr="0027486E">
      <w:rPr>
        <w:rFonts w:ascii="Arial" w:hAnsi="Arial" w:cs="Arial"/>
        <w:b/>
        <w:color w:val="C00000"/>
        <w:sz w:val="18"/>
        <w:szCs w:val="18"/>
      </w:rPr>
      <w:t>|</w:t>
    </w:r>
    <w:r w:rsidRPr="0027486E">
      <w:rPr>
        <w:rFonts w:ascii="Alegreya Sans" w:hAnsi="Alegreya Sans"/>
        <w:color w:val="808080" w:themeColor="background1" w:themeShade="80"/>
        <w:sz w:val="18"/>
      </w:rPr>
      <w:t xml:space="preserve"> Sąd Rejonowy dla m. st. Warszawy, XII Wydział Gospodarczy Krajowego Rejestru Sądowego - nr: 0000070444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948C6" w14:textId="77777777" w:rsidR="00123114" w:rsidRDefault="00123114" w:rsidP="00AC08B8">
      <w:pPr>
        <w:spacing w:after="0" w:line="240" w:lineRule="auto"/>
      </w:pPr>
      <w:r>
        <w:separator/>
      </w:r>
    </w:p>
  </w:footnote>
  <w:footnote w:type="continuationSeparator" w:id="0">
    <w:p w14:paraId="079863EA" w14:textId="77777777" w:rsidR="00123114" w:rsidRDefault="00123114" w:rsidP="00AC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2D76A" w14:textId="77777777" w:rsidR="0027486E" w:rsidRDefault="0027486E" w:rsidP="0027486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1B0E31" wp14:editId="23FC2EB1">
          <wp:extent cx="2266950" cy="1870134"/>
          <wp:effectExtent l="0" t="0" r="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C_2019_pion_cmyk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760" cy="188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EEE20" w14:textId="77777777" w:rsidR="0027486E" w:rsidRDefault="0027486E">
    <w:pPr>
      <w:pStyle w:val="Nagwek"/>
    </w:pPr>
  </w:p>
  <w:p w14:paraId="53921BB0" w14:textId="77777777" w:rsidR="0027486E" w:rsidRDefault="0027486E">
    <w:pPr>
      <w:pStyle w:val="Nagwek"/>
    </w:pPr>
  </w:p>
  <w:p w14:paraId="273D1584" w14:textId="77777777" w:rsidR="0027486E" w:rsidRDefault="0027486E">
    <w:pPr>
      <w:pStyle w:val="Nagwek"/>
    </w:pPr>
  </w:p>
  <w:p w14:paraId="6D6F35FA" w14:textId="77777777" w:rsidR="0027486E" w:rsidRDefault="00274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D2E6D3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3F96A9E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555A2F"/>
    <w:multiLevelType w:val="hybridMultilevel"/>
    <w:tmpl w:val="3976F556"/>
    <w:lvl w:ilvl="0" w:tplc="9D80A8D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2F5A0E"/>
    <w:multiLevelType w:val="hybridMultilevel"/>
    <w:tmpl w:val="487650BA"/>
    <w:lvl w:ilvl="0" w:tplc="77207B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3E5E31"/>
    <w:multiLevelType w:val="multilevel"/>
    <w:tmpl w:val="B074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E3A00"/>
    <w:multiLevelType w:val="hybridMultilevel"/>
    <w:tmpl w:val="81E49114"/>
    <w:lvl w:ilvl="0" w:tplc="1E08A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1161"/>
    <w:multiLevelType w:val="hybridMultilevel"/>
    <w:tmpl w:val="EADECE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F4801"/>
    <w:multiLevelType w:val="hybridMultilevel"/>
    <w:tmpl w:val="3D507F1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10AF5"/>
    <w:multiLevelType w:val="hybridMultilevel"/>
    <w:tmpl w:val="0608A2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7207B3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405961"/>
    <w:multiLevelType w:val="hybridMultilevel"/>
    <w:tmpl w:val="A4CA7AC4"/>
    <w:lvl w:ilvl="0" w:tplc="E902A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2D33"/>
    <w:multiLevelType w:val="hybridMultilevel"/>
    <w:tmpl w:val="72D259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86A60"/>
    <w:multiLevelType w:val="hybridMultilevel"/>
    <w:tmpl w:val="55947C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47051C"/>
    <w:multiLevelType w:val="hybridMultilevel"/>
    <w:tmpl w:val="C0B21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6E8B"/>
    <w:multiLevelType w:val="hybridMultilevel"/>
    <w:tmpl w:val="5504C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12898"/>
    <w:multiLevelType w:val="hybridMultilevel"/>
    <w:tmpl w:val="BDA6F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168AE"/>
    <w:multiLevelType w:val="hybridMultilevel"/>
    <w:tmpl w:val="0F20AE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6161B2"/>
    <w:multiLevelType w:val="hybridMultilevel"/>
    <w:tmpl w:val="C504D1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8C6F66"/>
    <w:multiLevelType w:val="hybridMultilevel"/>
    <w:tmpl w:val="E506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D3D40"/>
    <w:multiLevelType w:val="hybridMultilevel"/>
    <w:tmpl w:val="FC18ADC8"/>
    <w:lvl w:ilvl="0" w:tplc="77207B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9D6450"/>
    <w:multiLevelType w:val="hybridMultilevel"/>
    <w:tmpl w:val="023ACDC0"/>
    <w:lvl w:ilvl="0" w:tplc="F386F0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43D0E"/>
    <w:multiLevelType w:val="hybridMultilevel"/>
    <w:tmpl w:val="1E306C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07467"/>
    <w:multiLevelType w:val="hybridMultilevel"/>
    <w:tmpl w:val="DA8244B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D7858"/>
    <w:multiLevelType w:val="hybridMultilevel"/>
    <w:tmpl w:val="4AF283DE"/>
    <w:lvl w:ilvl="0" w:tplc="1E70F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B4D79"/>
    <w:multiLevelType w:val="hybridMultilevel"/>
    <w:tmpl w:val="D1B0E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05923"/>
    <w:multiLevelType w:val="hybridMultilevel"/>
    <w:tmpl w:val="947CC6CA"/>
    <w:lvl w:ilvl="0" w:tplc="8CFC1C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F1655"/>
    <w:multiLevelType w:val="hybridMultilevel"/>
    <w:tmpl w:val="FC2001C0"/>
    <w:lvl w:ilvl="0" w:tplc="77207B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A85597"/>
    <w:multiLevelType w:val="hybridMultilevel"/>
    <w:tmpl w:val="6E5EA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967AB"/>
    <w:multiLevelType w:val="hybridMultilevel"/>
    <w:tmpl w:val="756E6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50C73"/>
    <w:multiLevelType w:val="hybridMultilevel"/>
    <w:tmpl w:val="760C492C"/>
    <w:lvl w:ilvl="0" w:tplc="77207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7F5917"/>
    <w:multiLevelType w:val="hybridMultilevel"/>
    <w:tmpl w:val="F692F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B018E"/>
    <w:multiLevelType w:val="multilevel"/>
    <w:tmpl w:val="AF76D1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3"/>
  </w:num>
  <w:num w:numId="4">
    <w:abstractNumId w:val="10"/>
  </w:num>
  <w:num w:numId="5">
    <w:abstractNumId w:val="8"/>
  </w:num>
  <w:num w:numId="6">
    <w:abstractNumId w:val="18"/>
  </w:num>
  <w:num w:numId="7">
    <w:abstractNumId w:val="3"/>
  </w:num>
  <w:num w:numId="8">
    <w:abstractNumId w:val="25"/>
  </w:num>
  <w:num w:numId="9">
    <w:abstractNumId w:val="11"/>
  </w:num>
  <w:num w:numId="10">
    <w:abstractNumId w:val="28"/>
  </w:num>
  <w:num w:numId="11">
    <w:abstractNumId w:val="30"/>
  </w:num>
  <w:num w:numId="12">
    <w:abstractNumId w:val="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  <w:num w:numId="20">
    <w:abstractNumId w:val="6"/>
  </w:num>
  <w:num w:numId="21">
    <w:abstractNumId w:val="2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4"/>
  </w:num>
  <w:num w:numId="25">
    <w:abstractNumId w:val="21"/>
  </w:num>
  <w:num w:numId="26">
    <w:abstractNumId w:val="27"/>
  </w:num>
  <w:num w:numId="27">
    <w:abstractNumId w:val="2"/>
  </w:num>
  <w:num w:numId="28">
    <w:abstractNumId w:val="29"/>
  </w:num>
  <w:num w:numId="29">
    <w:abstractNumId w:val="22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2E"/>
    <w:rsid w:val="00026255"/>
    <w:rsid w:val="00072303"/>
    <w:rsid w:val="000D01C5"/>
    <w:rsid w:val="00110746"/>
    <w:rsid w:val="001214A1"/>
    <w:rsid w:val="001229D4"/>
    <w:rsid w:val="00123114"/>
    <w:rsid w:val="001260AB"/>
    <w:rsid w:val="00126D7B"/>
    <w:rsid w:val="00134EEF"/>
    <w:rsid w:val="001678F0"/>
    <w:rsid w:val="00171FB4"/>
    <w:rsid w:val="00174D43"/>
    <w:rsid w:val="001A576E"/>
    <w:rsid w:val="001D1165"/>
    <w:rsid w:val="001F7419"/>
    <w:rsid w:val="00241CDA"/>
    <w:rsid w:val="00252C3D"/>
    <w:rsid w:val="0027486E"/>
    <w:rsid w:val="00274FA9"/>
    <w:rsid w:val="00287467"/>
    <w:rsid w:val="002909D9"/>
    <w:rsid w:val="00295A62"/>
    <w:rsid w:val="002A6F6B"/>
    <w:rsid w:val="002C0302"/>
    <w:rsid w:val="002C126F"/>
    <w:rsid w:val="002C7F6A"/>
    <w:rsid w:val="002D45B5"/>
    <w:rsid w:val="002D6F98"/>
    <w:rsid w:val="002E3BE1"/>
    <w:rsid w:val="002E4E0F"/>
    <w:rsid w:val="002F1661"/>
    <w:rsid w:val="003265C1"/>
    <w:rsid w:val="00341C56"/>
    <w:rsid w:val="003605CF"/>
    <w:rsid w:val="00370C35"/>
    <w:rsid w:val="003A6304"/>
    <w:rsid w:val="003B10DE"/>
    <w:rsid w:val="003B51DA"/>
    <w:rsid w:val="003E0EA7"/>
    <w:rsid w:val="003F2766"/>
    <w:rsid w:val="00436CEA"/>
    <w:rsid w:val="0045569C"/>
    <w:rsid w:val="00465532"/>
    <w:rsid w:val="004A5D0F"/>
    <w:rsid w:val="004A6FCC"/>
    <w:rsid w:val="004A7F73"/>
    <w:rsid w:val="004F274D"/>
    <w:rsid w:val="004F517C"/>
    <w:rsid w:val="00536820"/>
    <w:rsid w:val="00541F01"/>
    <w:rsid w:val="00584A71"/>
    <w:rsid w:val="005C4B65"/>
    <w:rsid w:val="005F4860"/>
    <w:rsid w:val="00616250"/>
    <w:rsid w:val="00625E09"/>
    <w:rsid w:val="00653F00"/>
    <w:rsid w:val="006A19C2"/>
    <w:rsid w:val="006C20B0"/>
    <w:rsid w:val="006C6CA2"/>
    <w:rsid w:val="006F6A4C"/>
    <w:rsid w:val="006F7B49"/>
    <w:rsid w:val="00787136"/>
    <w:rsid w:val="007933A4"/>
    <w:rsid w:val="007936F5"/>
    <w:rsid w:val="007A1C5F"/>
    <w:rsid w:val="007B23AD"/>
    <w:rsid w:val="007C30A9"/>
    <w:rsid w:val="0081233A"/>
    <w:rsid w:val="00855AE8"/>
    <w:rsid w:val="00856657"/>
    <w:rsid w:val="00892702"/>
    <w:rsid w:val="00897D5D"/>
    <w:rsid w:val="008C2B5C"/>
    <w:rsid w:val="008E38F5"/>
    <w:rsid w:val="008E52F5"/>
    <w:rsid w:val="008F24D2"/>
    <w:rsid w:val="00917479"/>
    <w:rsid w:val="009517E9"/>
    <w:rsid w:val="00951D99"/>
    <w:rsid w:val="00957869"/>
    <w:rsid w:val="0097134C"/>
    <w:rsid w:val="00976432"/>
    <w:rsid w:val="009A05FC"/>
    <w:rsid w:val="009A3EC5"/>
    <w:rsid w:val="009B238D"/>
    <w:rsid w:val="009C579F"/>
    <w:rsid w:val="009F35F4"/>
    <w:rsid w:val="009F374E"/>
    <w:rsid w:val="00A2569B"/>
    <w:rsid w:val="00A42194"/>
    <w:rsid w:val="00A644D3"/>
    <w:rsid w:val="00AA5E88"/>
    <w:rsid w:val="00AB1A88"/>
    <w:rsid w:val="00AB1D96"/>
    <w:rsid w:val="00AC08B8"/>
    <w:rsid w:val="00AE30D1"/>
    <w:rsid w:val="00AE31E7"/>
    <w:rsid w:val="00AE6F76"/>
    <w:rsid w:val="00AF3CC6"/>
    <w:rsid w:val="00B11B90"/>
    <w:rsid w:val="00B5309E"/>
    <w:rsid w:val="00B5515F"/>
    <w:rsid w:val="00B6182F"/>
    <w:rsid w:val="00B83916"/>
    <w:rsid w:val="00B95CAE"/>
    <w:rsid w:val="00BC4733"/>
    <w:rsid w:val="00BE5FD8"/>
    <w:rsid w:val="00C0734C"/>
    <w:rsid w:val="00C2716F"/>
    <w:rsid w:val="00C3187B"/>
    <w:rsid w:val="00C33A5B"/>
    <w:rsid w:val="00C8553E"/>
    <w:rsid w:val="00C8555C"/>
    <w:rsid w:val="00C9347F"/>
    <w:rsid w:val="00CA6463"/>
    <w:rsid w:val="00CD3627"/>
    <w:rsid w:val="00CF4B2A"/>
    <w:rsid w:val="00D16F02"/>
    <w:rsid w:val="00D27C5A"/>
    <w:rsid w:val="00D32083"/>
    <w:rsid w:val="00D44E08"/>
    <w:rsid w:val="00D46A4A"/>
    <w:rsid w:val="00D5296C"/>
    <w:rsid w:val="00D535BF"/>
    <w:rsid w:val="00D62992"/>
    <w:rsid w:val="00D74CFB"/>
    <w:rsid w:val="00D97D2E"/>
    <w:rsid w:val="00DC78FF"/>
    <w:rsid w:val="00DD52AE"/>
    <w:rsid w:val="00E13150"/>
    <w:rsid w:val="00E62B69"/>
    <w:rsid w:val="00E63783"/>
    <w:rsid w:val="00EC2C14"/>
    <w:rsid w:val="00EC45B8"/>
    <w:rsid w:val="00ED6029"/>
    <w:rsid w:val="00EE0253"/>
    <w:rsid w:val="00EF1689"/>
    <w:rsid w:val="00F26716"/>
    <w:rsid w:val="00F313D8"/>
    <w:rsid w:val="00F330BA"/>
    <w:rsid w:val="00F64A72"/>
    <w:rsid w:val="00F74841"/>
    <w:rsid w:val="00FA66F7"/>
    <w:rsid w:val="00FB674B"/>
    <w:rsid w:val="00FC176D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5A1B7"/>
  <w15:docId w15:val="{3B041F5B-2D0A-416F-8967-E1AD2B42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347F"/>
    <w:rPr>
      <w:color w:val="0563C1" w:themeColor="hyperlink"/>
      <w:u w:val="single"/>
    </w:rPr>
  </w:style>
  <w:style w:type="paragraph" w:customStyle="1" w:styleId="Zwykytekst1">
    <w:name w:val="Zwykły tekst1"/>
    <w:basedOn w:val="Normalny"/>
    <w:rsid w:val="00436CEA"/>
    <w:pPr>
      <w:suppressAutoHyphens/>
      <w:spacing w:after="0" w:line="100" w:lineRule="atLeast"/>
    </w:pPr>
    <w:rPr>
      <w:rFonts w:ascii="Cambria" w:eastAsia="Arial Unicode MS" w:hAnsi="Cambria" w:cs="Times New Roman"/>
      <w:sz w:val="21"/>
      <w:szCs w:val="21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F35F4"/>
    <w:pPr>
      <w:ind w:left="720"/>
      <w:contextualSpacing/>
    </w:pPr>
  </w:style>
  <w:style w:type="paragraph" w:customStyle="1" w:styleId="PKTpunkt">
    <w:name w:val="PKT – punkt"/>
    <w:uiPriority w:val="13"/>
    <w:qFormat/>
    <w:rsid w:val="007B23A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97D5D"/>
    <w:pPr>
      <w:suppressAutoHyphens/>
      <w:spacing w:line="256" w:lineRule="auto"/>
      <w:ind w:left="720"/>
    </w:pPr>
    <w:rPr>
      <w:rFonts w:ascii="Calibri" w:eastAsia="Lucida Sans Unicode" w:hAnsi="Calibri" w:cs="Calibri"/>
      <w:kern w:val="1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D27C5A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7C5A"/>
    <w:rPr>
      <w:rFonts w:ascii="Calibri" w:hAnsi="Calibri" w:cs="Calibri"/>
    </w:rPr>
  </w:style>
  <w:style w:type="character" w:customStyle="1" w:styleId="highlight-disabled">
    <w:name w:val="highlight-disabled"/>
    <w:rsid w:val="002D45B5"/>
  </w:style>
  <w:style w:type="character" w:styleId="Pogrubienie">
    <w:name w:val="Strong"/>
    <w:uiPriority w:val="22"/>
    <w:qFormat/>
    <w:rsid w:val="00CF4B2A"/>
    <w:rPr>
      <w:b/>
      <w:bCs/>
    </w:rPr>
  </w:style>
  <w:style w:type="paragraph" w:styleId="Tekstprzypisudolnego">
    <w:name w:val="footnote text"/>
    <w:aliases w:val="Znak Znak1,Tekst przypisu dolnego-poligrafia,Znak,ПГП Сноска"/>
    <w:basedOn w:val="Normalny"/>
    <w:link w:val="TekstprzypisudolnegoZnak"/>
    <w:uiPriority w:val="99"/>
    <w:unhideWhenUsed/>
    <w:rsid w:val="00AC08B8"/>
    <w:pPr>
      <w:spacing w:after="-1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Znak Znak1 Znak,Tekst przypisu dolnego-poligrafia Znak,Znak Znak,ПГП Сноска Znak"/>
    <w:basedOn w:val="Domylnaczcionkaakapitu"/>
    <w:link w:val="Tekstprzypisudolnego"/>
    <w:uiPriority w:val="99"/>
    <w:rsid w:val="00AC08B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C08B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C08B8"/>
  </w:style>
  <w:style w:type="paragraph" w:styleId="Nagwek">
    <w:name w:val="header"/>
    <w:basedOn w:val="Normalny"/>
    <w:link w:val="NagwekZnak"/>
    <w:uiPriority w:val="99"/>
    <w:unhideWhenUsed/>
    <w:rsid w:val="00274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86E"/>
  </w:style>
  <w:style w:type="paragraph" w:styleId="Stopka">
    <w:name w:val="footer"/>
    <w:basedOn w:val="Normalny"/>
    <w:link w:val="StopkaZnak"/>
    <w:uiPriority w:val="99"/>
    <w:unhideWhenUsed/>
    <w:rsid w:val="00274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86E"/>
  </w:style>
  <w:style w:type="character" w:styleId="Nierozpoznanawzmianka">
    <w:name w:val="Unresolved Mention"/>
    <w:basedOn w:val="Domylnaczcionkaakapitu"/>
    <w:uiPriority w:val="99"/>
    <w:semiHidden/>
    <w:unhideWhenUsed/>
    <w:rsid w:val="00110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ytut@bcc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B46C-C73F-49A5-9111-EE858F21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Onikki-Górski</dc:creator>
  <cp:lastModifiedBy>Beata X</cp:lastModifiedBy>
  <cp:revision>7</cp:revision>
  <cp:lastPrinted>2019-08-07T11:36:00Z</cp:lastPrinted>
  <dcterms:created xsi:type="dcterms:W3CDTF">2020-03-19T08:09:00Z</dcterms:created>
  <dcterms:modified xsi:type="dcterms:W3CDTF">2020-03-19T08:17:00Z</dcterms:modified>
</cp:coreProperties>
</file>